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5640"/>
      </w:tblGrid>
      <w:tr w:rsidR="004D01EC" w:rsidTr="00863A68">
        <w:tc>
          <w:tcPr>
            <w:tcW w:w="1963" w:type="pct"/>
          </w:tcPr>
          <w:p w:rsidR="004D01EC" w:rsidRDefault="00863A68" w:rsidP="00863A68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4DED35E" wp14:editId="235FAE11">
                  <wp:extent cx="1499892" cy="838200"/>
                  <wp:effectExtent l="0" t="0" r="508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261" cy="85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pct"/>
          </w:tcPr>
          <w:p w:rsidR="004D01EC" w:rsidRDefault="004D01EC" w:rsidP="00863A68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28A591D4" wp14:editId="72D828B6">
                  <wp:extent cx="1368640" cy="965548"/>
                  <wp:effectExtent l="0" t="0" r="3175" b="6350"/>
                  <wp:docPr id="12" name="Image 12" descr="Z:\Logos\logos partenaires\Fondation Gates\BMGF_Stacked_logo_red_30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Logos\logos partenaires\Fondation Gates\BMGF_Stacked_logo_red_30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58" cy="96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2D7A" w:rsidRDefault="00DB2D7A" w:rsidP="008D4F14">
      <w:pPr>
        <w:spacing w:after="0"/>
        <w:jc w:val="center"/>
        <w:rPr>
          <w:b/>
          <w:sz w:val="16"/>
          <w:szCs w:val="16"/>
        </w:rPr>
      </w:pPr>
    </w:p>
    <w:p w:rsidR="00B50B97" w:rsidRPr="00DB2D7A" w:rsidRDefault="00B50B97" w:rsidP="008D4F14">
      <w:pPr>
        <w:spacing w:after="0"/>
        <w:jc w:val="center"/>
        <w:rPr>
          <w:b/>
          <w:sz w:val="16"/>
          <w:szCs w:val="16"/>
        </w:rPr>
      </w:pPr>
    </w:p>
    <w:p w:rsidR="006D443F" w:rsidRPr="006D443F" w:rsidRDefault="006D443F" w:rsidP="008D4F14">
      <w:pPr>
        <w:spacing w:after="0"/>
        <w:jc w:val="center"/>
        <w:rPr>
          <w:b/>
          <w:sz w:val="26"/>
          <w:szCs w:val="26"/>
        </w:rPr>
      </w:pPr>
      <w:r w:rsidRPr="006D443F">
        <w:rPr>
          <w:b/>
          <w:sz w:val="26"/>
          <w:szCs w:val="26"/>
        </w:rPr>
        <w:t xml:space="preserve">INITIATIVE POUR L’AMELIORATION DES </w:t>
      </w:r>
    </w:p>
    <w:p w:rsidR="00F8004F" w:rsidRPr="006D443F" w:rsidRDefault="006D443F" w:rsidP="008D4F14">
      <w:pPr>
        <w:spacing w:after="0"/>
        <w:jc w:val="center"/>
        <w:rPr>
          <w:b/>
          <w:sz w:val="26"/>
          <w:szCs w:val="26"/>
        </w:rPr>
      </w:pPr>
      <w:r w:rsidRPr="006D443F">
        <w:rPr>
          <w:b/>
          <w:sz w:val="26"/>
          <w:szCs w:val="26"/>
        </w:rPr>
        <w:t>SERVICES URBAINS CLES DANS LES SECTEURS SOCIAUX</w:t>
      </w:r>
    </w:p>
    <w:p w:rsidR="00A65269" w:rsidRDefault="00A65269" w:rsidP="008D4F14">
      <w:pPr>
        <w:spacing w:after="0"/>
        <w:jc w:val="center"/>
        <w:rPr>
          <w:b/>
          <w:color w:val="548DD4" w:themeColor="text2" w:themeTint="99"/>
          <w:sz w:val="26"/>
          <w:szCs w:val="26"/>
        </w:rPr>
      </w:pPr>
      <w:r w:rsidRPr="00874D6A">
        <w:rPr>
          <w:b/>
          <w:color w:val="548DD4" w:themeColor="text2" w:themeTint="99"/>
          <w:sz w:val="26"/>
          <w:szCs w:val="26"/>
        </w:rPr>
        <w:t>Partenariat</w:t>
      </w:r>
      <w:r w:rsidR="00A61616" w:rsidRPr="00874D6A">
        <w:rPr>
          <w:b/>
          <w:color w:val="548DD4" w:themeColor="text2" w:themeTint="99"/>
          <w:sz w:val="26"/>
          <w:szCs w:val="26"/>
        </w:rPr>
        <w:t xml:space="preserve"> avec la </w:t>
      </w:r>
      <w:r w:rsidRPr="00874D6A">
        <w:rPr>
          <w:b/>
          <w:color w:val="548DD4" w:themeColor="text2" w:themeTint="99"/>
          <w:sz w:val="26"/>
          <w:szCs w:val="26"/>
        </w:rPr>
        <w:t>Fondation Bill &amp; Melinda Gates</w:t>
      </w:r>
    </w:p>
    <w:p w:rsidR="00B50B97" w:rsidRPr="00874D6A" w:rsidRDefault="00B50B97" w:rsidP="008D4F14">
      <w:pPr>
        <w:spacing w:after="0"/>
        <w:jc w:val="center"/>
        <w:rPr>
          <w:b/>
          <w:color w:val="548DD4" w:themeColor="text2" w:themeTint="99"/>
          <w:sz w:val="26"/>
          <w:szCs w:val="26"/>
        </w:rPr>
      </w:pPr>
      <w:r>
        <w:rPr>
          <w:b/>
          <w:color w:val="548DD4" w:themeColor="text2" w:themeTint="99"/>
          <w:sz w:val="26"/>
          <w:szCs w:val="26"/>
        </w:rPr>
        <w:t>2017-2021</w:t>
      </w:r>
    </w:p>
    <w:p w:rsidR="003504AD" w:rsidRDefault="003504AD" w:rsidP="00A65269">
      <w:pPr>
        <w:spacing w:after="0"/>
        <w:jc w:val="both"/>
        <w:rPr>
          <w:b/>
        </w:rPr>
      </w:pPr>
    </w:p>
    <w:p w:rsidR="00B50B97" w:rsidRDefault="00B50B97" w:rsidP="00A65269">
      <w:pPr>
        <w:spacing w:after="0"/>
        <w:jc w:val="both"/>
        <w:rPr>
          <w:b/>
        </w:rPr>
      </w:pPr>
    </w:p>
    <w:p w:rsidR="008261CE" w:rsidRPr="005D12B6" w:rsidRDefault="003504AD" w:rsidP="00A65269">
      <w:pPr>
        <w:spacing w:after="0"/>
        <w:jc w:val="both"/>
        <w:rPr>
          <w:b/>
        </w:rPr>
      </w:pPr>
      <w:r w:rsidRPr="003504AD">
        <w:rPr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FD33CD" wp14:editId="1DB9217B">
                <wp:simplePos x="0" y="0"/>
                <wp:positionH relativeFrom="margin">
                  <wp:posOffset>3908425</wp:posOffset>
                </wp:positionH>
                <wp:positionV relativeFrom="margin">
                  <wp:posOffset>2681605</wp:posOffset>
                </wp:positionV>
                <wp:extent cx="1854200" cy="1706880"/>
                <wp:effectExtent l="19050" t="19050" r="12700" b="12065"/>
                <wp:wrapSquare wrapText="bothSides"/>
                <wp:docPr id="6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1EC" w:rsidRPr="008261CE" w:rsidRDefault="009311EC" w:rsidP="005D12B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8D4F14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Une coopération inédite entre une grande fondation </w:t>
                            </w:r>
                            <w:r w:rsidRPr="002E15D6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nord</w:t>
                            </w: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-</w:t>
                            </w:r>
                            <w:r w:rsidRPr="008D4F14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américaine et le réseau des élus locaux francophones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e automatique 2" o:spid="_x0000_s1026" type="#_x0000_t185" style="position:absolute;left:0;text-align:left;margin-left:307.75pt;margin-top:211.15pt;width:146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311EC" w:rsidRPr="008261CE" w:rsidRDefault="009311EC" w:rsidP="005D12B6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 w:rsidRPr="008D4F14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Une coopération inédite entre une grande fondation </w:t>
                      </w:r>
                      <w:r w:rsidRPr="002E15D6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nord</w:t>
                      </w: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-</w:t>
                      </w:r>
                      <w:r w:rsidRPr="008D4F14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américaine et le réseau des élus locaux francophones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61CE" w:rsidRPr="005D12B6">
        <w:rPr>
          <w:b/>
        </w:rPr>
        <w:t>UN PARTENARIAT INNOVANT</w:t>
      </w:r>
    </w:p>
    <w:p w:rsidR="008261CE" w:rsidRPr="003504AD" w:rsidRDefault="008261CE" w:rsidP="00A65269">
      <w:pPr>
        <w:spacing w:after="0"/>
        <w:jc w:val="both"/>
        <w:rPr>
          <w:sz w:val="10"/>
          <w:szCs w:val="10"/>
        </w:rPr>
      </w:pPr>
    </w:p>
    <w:p w:rsidR="008261CE" w:rsidRDefault="00A65269" w:rsidP="00A65269">
      <w:pPr>
        <w:spacing w:after="0"/>
        <w:jc w:val="both"/>
      </w:pPr>
      <w:r>
        <w:t>L’AIMF et la Fondation Bill &amp; Melinda Gates</w:t>
      </w:r>
      <w:r w:rsidR="008261CE">
        <w:t xml:space="preserve"> </w:t>
      </w:r>
      <w:r>
        <w:t xml:space="preserve">ont signé en mars 2017 </w:t>
      </w:r>
      <w:r w:rsidR="00A61616">
        <w:t xml:space="preserve">un partenariat </w:t>
      </w:r>
      <w:r>
        <w:t xml:space="preserve">pour </w:t>
      </w:r>
      <w:r w:rsidR="00A61616">
        <w:t>développer une « Initiative pour l’amélioration des services urbains clés dans les secteurs sociaux</w:t>
      </w:r>
      <w:r w:rsidR="008261CE">
        <w:t xml:space="preserve"> ». </w:t>
      </w:r>
      <w:r w:rsidR="00746981">
        <w:t>Cette initiative prend appui sur</w:t>
      </w:r>
      <w:r w:rsidR="00DD2DF6">
        <w:t xml:space="preserve"> la capacité de l’AIMF à mobiliser son réseau d’autorités locales, et sur son expérience </w:t>
      </w:r>
      <w:r w:rsidR="00746981">
        <w:t xml:space="preserve">dans la mise en œuvre de projets de développement en lien direct avec les municipalités. </w:t>
      </w:r>
    </w:p>
    <w:p w:rsidR="008261CE" w:rsidRPr="003504AD" w:rsidRDefault="008261CE" w:rsidP="00A65269">
      <w:pPr>
        <w:spacing w:after="0"/>
        <w:jc w:val="both"/>
        <w:rPr>
          <w:sz w:val="12"/>
          <w:szCs w:val="12"/>
        </w:rPr>
      </w:pPr>
    </w:p>
    <w:p w:rsidR="00524218" w:rsidRDefault="008261CE" w:rsidP="008261CE">
      <w:pPr>
        <w:spacing w:after="0"/>
        <w:jc w:val="both"/>
      </w:pPr>
      <w:r w:rsidRPr="002E15D6">
        <w:t xml:space="preserve">Premier partenariat entre cette grande Fondation </w:t>
      </w:r>
      <w:r w:rsidR="00AA6C10" w:rsidRPr="002E15D6">
        <w:t>nord-</w:t>
      </w:r>
      <w:r w:rsidRPr="002E15D6">
        <w:t>américaine et le réseau des élus locaux francophones, l’Initiative aboutira sur la mise en place de 15 projets pilotes en 4 ans. Ceux-ci seront centrés sur 3 problématiques clés, abordées à travers une dém</w:t>
      </w:r>
      <w:r w:rsidR="00524218" w:rsidRPr="002E15D6">
        <w:t>arche d’innovation : la planification familiale</w:t>
      </w:r>
      <w:r w:rsidRPr="002E15D6">
        <w:t xml:space="preserve">, l’assainissement </w:t>
      </w:r>
      <w:r w:rsidR="00524218" w:rsidRPr="002E15D6">
        <w:t>via la gestion et le</w:t>
      </w:r>
      <w:r w:rsidRPr="002E15D6">
        <w:t xml:space="preserve"> traitement des boues de vidange et</w:t>
      </w:r>
      <w:r w:rsidR="00524218" w:rsidRPr="002E15D6">
        <w:t xml:space="preserve"> la préparation aux situations d’urgence</w:t>
      </w:r>
      <w:r w:rsidRPr="002E15D6">
        <w:t>.</w:t>
      </w:r>
      <w:r>
        <w:t xml:space="preserve"> </w:t>
      </w:r>
    </w:p>
    <w:p w:rsidR="008261CE" w:rsidRPr="003504AD" w:rsidRDefault="008261CE" w:rsidP="008261CE">
      <w:pPr>
        <w:spacing w:after="0"/>
        <w:jc w:val="both"/>
        <w:rPr>
          <w:sz w:val="12"/>
          <w:szCs w:val="12"/>
        </w:rPr>
      </w:pPr>
    </w:p>
    <w:p w:rsidR="002F6DBA" w:rsidRDefault="00863A68" w:rsidP="008261CE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91FAE5" wp14:editId="0C52ECD9">
                <wp:simplePos x="0" y="0"/>
                <wp:positionH relativeFrom="margin">
                  <wp:posOffset>-3810</wp:posOffset>
                </wp:positionH>
                <wp:positionV relativeFrom="margin">
                  <wp:posOffset>5508625</wp:posOffset>
                </wp:positionV>
                <wp:extent cx="1612900" cy="1706880"/>
                <wp:effectExtent l="19050" t="19050" r="25400" b="19685"/>
                <wp:wrapSquare wrapText="bothSides"/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1EC" w:rsidRDefault="009311EC" w:rsidP="005D12B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15 projets pilotes mis en œuvre sur 4 ans</w:t>
                            </w:r>
                          </w:p>
                          <w:p w:rsidR="009311EC" w:rsidRPr="008D4F14" w:rsidRDefault="009311EC" w:rsidP="005D12B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:rsidR="009311EC" w:rsidRDefault="009311EC" w:rsidP="005D12B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Budget : 6 millions $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85" style="position:absolute;left:0;text-align:left;margin-left:-.3pt;margin-top:433.75pt;width:127pt;height:13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311EC" w:rsidRDefault="009311EC" w:rsidP="005D12B6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15 projets pilotes mis en œuvre sur 4 ans</w:t>
                      </w:r>
                    </w:p>
                    <w:p w:rsidR="009311EC" w:rsidRPr="008D4F14" w:rsidRDefault="009311EC" w:rsidP="005D12B6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:rsidR="009311EC" w:rsidRDefault="009311EC" w:rsidP="005D12B6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Budget : 6 millions $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61CE">
        <w:t>Plus de 6 millions de dollars seront mobilisés pour appuyer financièrement et techniquement les villes francophones dans le développement de leurs projets en la matière. La Fondation Bill &amp; Melinda Gates apportera un co-financement à hauteur de 4,75 millions de dollars. La ville de Paris, l’AIMF et les villes bénéficiaires des projets pilotes apporteront les financements complémentaires.</w:t>
      </w:r>
    </w:p>
    <w:p w:rsidR="008261CE" w:rsidRDefault="008261CE" w:rsidP="008261CE">
      <w:pPr>
        <w:spacing w:after="0"/>
        <w:jc w:val="both"/>
        <w:rPr>
          <w:b/>
          <w:i/>
          <w:color w:val="00B0F0"/>
        </w:rPr>
      </w:pPr>
    </w:p>
    <w:p w:rsidR="00B50B97" w:rsidRDefault="00B50B97" w:rsidP="008261CE">
      <w:pPr>
        <w:spacing w:after="0"/>
        <w:jc w:val="both"/>
        <w:rPr>
          <w:b/>
        </w:rPr>
      </w:pPr>
    </w:p>
    <w:p w:rsidR="008D4F14" w:rsidRPr="008D4F14" w:rsidRDefault="008D4F14" w:rsidP="008261CE">
      <w:pPr>
        <w:spacing w:after="0"/>
        <w:jc w:val="both"/>
        <w:rPr>
          <w:b/>
        </w:rPr>
      </w:pPr>
      <w:r w:rsidRPr="008D4F14">
        <w:rPr>
          <w:b/>
        </w:rPr>
        <w:t>UNE ACTION CIBLEE SUR DES PROBLEMATIQUES CLES DU DEVELOPPEMENT URBAIN</w:t>
      </w:r>
    </w:p>
    <w:p w:rsidR="005D12B6" w:rsidRPr="00DB2D7A" w:rsidRDefault="005D12B6" w:rsidP="005D12B6">
      <w:pPr>
        <w:spacing w:after="0"/>
        <w:jc w:val="both"/>
        <w:rPr>
          <w:b/>
          <w:i/>
          <w:color w:val="00B0F0"/>
          <w:sz w:val="10"/>
          <w:szCs w:val="10"/>
        </w:rPr>
      </w:pPr>
    </w:p>
    <w:p w:rsidR="00DB2D7A" w:rsidRPr="00DB2D7A" w:rsidRDefault="00B50B97" w:rsidP="005D12B6">
      <w:pPr>
        <w:spacing w:after="0"/>
        <w:jc w:val="both"/>
        <w:rPr>
          <w:sz w:val="10"/>
          <w:szCs w:val="10"/>
        </w:rPr>
      </w:pPr>
      <w:r w:rsidRPr="00DB2D7A">
        <w:rPr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98FEAC1" wp14:editId="112DC5C8">
                <wp:simplePos x="0" y="0"/>
                <wp:positionH relativeFrom="margin">
                  <wp:posOffset>3335020</wp:posOffset>
                </wp:positionH>
                <wp:positionV relativeFrom="margin">
                  <wp:posOffset>7285355</wp:posOffset>
                </wp:positionV>
                <wp:extent cx="2436495" cy="965200"/>
                <wp:effectExtent l="19050" t="19050" r="20955" b="25400"/>
                <wp:wrapSquare wrapText="bothSides"/>
                <wp:docPr id="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9652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1EC" w:rsidRDefault="009311E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Améliorer l’accès des populations aux services essentiels, à travers une action portée directement par les municipalités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85" style="position:absolute;left:0;text-align:left;margin-left:262.6pt;margin-top:573.65pt;width:191.85pt;height:7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9311EC" w:rsidRDefault="009311EC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Améliorer l’accès des populations aux services essentiels, à travers une action portée directement par les municipalités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D12B6" w:rsidRDefault="005D12B6" w:rsidP="005D12B6">
      <w:pPr>
        <w:spacing w:after="0"/>
        <w:jc w:val="both"/>
      </w:pPr>
      <w:r>
        <w:t xml:space="preserve">Cette Initiative permettra un investissement important ciblé sur quelques thématiques, mobilisant plusieurs villes du réseau AIMF en même temps autour de solutions innovantes. </w:t>
      </w:r>
    </w:p>
    <w:p w:rsidR="00874D6A" w:rsidRDefault="00874D6A" w:rsidP="008261CE">
      <w:pPr>
        <w:spacing w:after="0"/>
        <w:jc w:val="both"/>
        <w:rPr>
          <w:b/>
          <w:i/>
          <w:color w:val="00B0F0"/>
        </w:rPr>
      </w:pPr>
    </w:p>
    <w:p w:rsidR="00874D6A" w:rsidRDefault="00874D6A" w:rsidP="008261CE">
      <w:pPr>
        <w:spacing w:after="0"/>
        <w:jc w:val="both"/>
        <w:rPr>
          <w:b/>
          <w:i/>
          <w:color w:val="00B0F0"/>
        </w:rPr>
      </w:pPr>
    </w:p>
    <w:p w:rsidR="00874D6A" w:rsidRDefault="00874D6A" w:rsidP="008261CE">
      <w:pPr>
        <w:spacing w:after="0"/>
        <w:jc w:val="both"/>
        <w:rPr>
          <w:b/>
          <w:i/>
          <w:color w:val="00B0F0"/>
        </w:rPr>
      </w:pPr>
    </w:p>
    <w:p w:rsidR="00863A68" w:rsidRDefault="00863A68" w:rsidP="008261CE">
      <w:pPr>
        <w:spacing w:after="0"/>
        <w:jc w:val="both"/>
        <w:rPr>
          <w:b/>
          <w:i/>
          <w:color w:val="548DD4" w:themeColor="text2" w:themeTint="99"/>
        </w:rPr>
      </w:pPr>
    </w:p>
    <w:p w:rsidR="00863A68" w:rsidRDefault="00863A68" w:rsidP="008261CE">
      <w:pPr>
        <w:spacing w:after="0"/>
        <w:jc w:val="both"/>
        <w:rPr>
          <w:b/>
          <w:i/>
          <w:color w:val="548DD4" w:themeColor="text2" w:themeTint="99"/>
        </w:rPr>
      </w:pPr>
    </w:p>
    <w:p w:rsidR="00DB2D7A" w:rsidRDefault="00DB2D7A" w:rsidP="008261CE">
      <w:pPr>
        <w:spacing w:after="0"/>
        <w:jc w:val="both"/>
        <w:rPr>
          <w:b/>
          <w:i/>
          <w:color w:val="548DD4" w:themeColor="text2" w:themeTint="99"/>
        </w:rPr>
      </w:pPr>
    </w:p>
    <w:p w:rsidR="00DB2D7A" w:rsidRDefault="00DB2D7A" w:rsidP="008261CE">
      <w:pPr>
        <w:spacing w:after="0"/>
        <w:jc w:val="both"/>
        <w:rPr>
          <w:b/>
          <w:i/>
          <w:color w:val="548DD4" w:themeColor="text2" w:themeTint="99"/>
        </w:rPr>
      </w:pPr>
    </w:p>
    <w:p w:rsidR="00B50B97" w:rsidRDefault="00B50B97" w:rsidP="008261CE">
      <w:pPr>
        <w:spacing w:after="0"/>
        <w:jc w:val="both"/>
        <w:rPr>
          <w:b/>
          <w:i/>
          <w:color w:val="548DD4" w:themeColor="text2" w:themeTint="99"/>
        </w:rPr>
      </w:pPr>
    </w:p>
    <w:p w:rsidR="00B50B97" w:rsidRDefault="00B50B97" w:rsidP="008261CE">
      <w:pPr>
        <w:spacing w:after="0"/>
        <w:jc w:val="both"/>
        <w:rPr>
          <w:b/>
          <w:i/>
          <w:color w:val="548DD4" w:themeColor="text2" w:themeTint="99"/>
        </w:rPr>
      </w:pPr>
    </w:p>
    <w:p w:rsidR="00161E1E" w:rsidRPr="006D443F" w:rsidRDefault="005D12B6" w:rsidP="008261CE">
      <w:pPr>
        <w:spacing w:after="0"/>
        <w:jc w:val="both"/>
        <w:rPr>
          <w:color w:val="548DD4" w:themeColor="text2" w:themeTint="99"/>
        </w:rPr>
      </w:pPr>
      <w:r w:rsidRPr="006D443F">
        <w:rPr>
          <w:b/>
          <w:i/>
          <w:color w:val="548DD4" w:themeColor="text2" w:themeTint="99"/>
        </w:rPr>
        <w:t>Gestion</w:t>
      </w:r>
      <w:r w:rsidR="008B4D15" w:rsidRPr="006D443F">
        <w:rPr>
          <w:b/>
          <w:i/>
          <w:color w:val="548DD4" w:themeColor="text2" w:themeTint="99"/>
        </w:rPr>
        <w:t xml:space="preserve"> et valorisation des boues de vidange</w:t>
      </w:r>
      <w:r w:rsidRPr="006D443F">
        <w:rPr>
          <w:b/>
          <w:i/>
          <w:color w:val="548DD4" w:themeColor="text2" w:themeTint="99"/>
        </w:rPr>
        <w:t> : une solution pour l’assainissement des villes en développement</w:t>
      </w:r>
    </w:p>
    <w:p w:rsidR="00F13D53" w:rsidRDefault="008B4D15" w:rsidP="008261CE">
      <w:pPr>
        <w:spacing w:after="0"/>
        <w:jc w:val="both"/>
      </w:pPr>
      <w:r>
        <w:t>Le</w:t>
      </w:r>
      <w:r w:rsidR="00EC4135">
        <w:t xml:space="preserve"> développement de cette filière</w:t>
      </w:r>
      <w:r>
        <w:t xml:space="preserve"> peut être une véritable alternative</w:t>
      </w:r>
      <w:r w:rsidR="00746981">
        <w:t xml:space="preserve"> </w:t>
      </w:r>
      <w:r>
        <w:t>aux</w:t>
      </w:r>
      <w:r w:rsidR="00746981">
        <w:t xml:space="preserve"> réseaux d’assainissement </w:t>
      </w:r>
      <w:r>
        <w:t xml:space="preserve">collectifs </w:t>
      </w:r>
      <w:r w:rsidR="00746981">
        <w:t>coûteux et souvent difficiles à mettre en place dans des contextes de</w:t>
      </w:r>
      <w:r>
        <w:t xml:space="preserve"> très forte croissance urbaine. </w:t>
      </w:r>
      <w:r w:rsidR="00746981">
        <w:t>L’AIMF dispose d’une expérience en la matière</w:t>
      </w:r>
      <w:r w:rsidR="00D67728">
        <w:t xml:space="preserve">, avec l’accompagnement de </w:t>
      </w:r>
      <w:r w:rsidR="00161E1E">
        <w:t>p</w:t>
      </w:r>
      <w:r w:rsidR="00746981">
        <w:t>rojet</w:t>
      </w:r>
      <w:r w:rsidR="00D67728">
        <w:t>s à</w:t>
      </w:r>
      <w:r w:rsidR="00746981">
        <w:t xml:space="preserve"> Vientiane </w:t>
      </w:r>
      <w:r w:rsidR="00161E1E">
        <w:t xml:space="preserve">(Laos), </w:t>
      </w:r>
      <w:r w:rsidR="00746981">
        <w:t>Mahajanga</w:t>
      </w:r>
      <w:r w:rsidR="00161E1E">
        <w:t xml:space="preserve"> (Madagascar) et </w:t>
      </w:r>
      <w:proofErr w:type="spellStart"/>
      <w:r w:rsidR="00DF7A38">
        <w:t>Siem</w:t>
      </w:r>
      <w:proofErr w:type="spellEnd"/>
      <w:r w:rsidR="00DF7A38">
        <w:t xml:space="preserve"> </w:t>
      </w:r>
      <w:proofErr w:type="spellStart"/>
      <w:r w:rsidR="00DF7A38">
        <w:t>Reap</w:t>
      </w:r>
      <w:proofErr w:type="spellEnd"/>
      <w:r w:rsidR="00161E1E">
        <w:t xml:space="preserve"> (Cambodge)</w:t>
      </w:r>
      <w:r w:rsidR="008D4F14">
        <w:t xml:space="preserve">. De son côté, la Fondation Bill et </w:t>
      </w:r>
      <w:proofErr w:type="spellStart"/>
      <w:r w:rsidR="008D4F14">
        <w:t>Mélinda</w:t>
      </w:r>
      <w:proofErr w:type="spellEnd"/>
      <w:r w:rsidR="008D4F14">
        <w:t xml:space="preserve"> Gates </w:t>
      </w:r>
      <w:r w:rsidR="00F824BB">
        <w:t xml:space="preserve">a fait </w:t>
      </w:r>
      <w:r w:rsidR="008D4F14">
        <w:t xml:space="preserve">de cette solution </w:t>
      </w:r>
      <w:r w:rsidR="00F824BB">
        <w:t xml:space="preserve">un de ses axes d’intervention prioritaire. </w:t>
      </w:r>
    </w:p>
    <w:p w:rsidR="00874D6A" w:rsidRDefault="00874D6A" w:rsidP="008261CE">
      <w:pPr>
        <w:spacing w:after="0"/>
        <w:jc w:val="both"/>
        <w:rPr>
          <w:b/>
          <w:i/>
          <w:color w:val="00B0F0"/>
        </w:rPr>
      </w:pPr>
    </w:p>
    <w:p w:rsidR="008261CE" w:rsidRPr="006D443F" w:rsidRDefault="00161E1E" w:rsidP="008261CE">
      <w:pPr>
        <w:spacing w:after="0"/>
        <w:jc w:val="both"/>
        <w:rPr>
          <w:b/>
          <w:i/>
          <w:color w:val="548DD4" w:themeColor="text2" w:themeTint="99"/>
        </w:rPr>
      </w:pPr>
      <w:r w:rsidRPr="006D443F">
        <w:rPr>
          <w:b/>
          <w:i/>
          <w:color w:val="548DD4" w:themeColor="text2" w:themeTint="99"/>
        </w:rPr>
        <w:t>Planning familial</w:t>
      </w:r>
      <w:r w:rsidR="008D4F14" w:rsidRPr="006D443F">
        <w:rPr>
          <w:b/>
          <w:i/>
          <w:color w:val="548DD4" w:themeColor="text2" w:themeTint="99"/>
        </w:rPr>
        <w:t> : les autorités locales ont un rôle à jouer</w:t>
      </w:r>
    </w:p>
    <w:p w:rsidR="00161E1E" w:rsidRPr="008261CE" w:rsidRDefault="003801C2" w:rsidP="008261CE">
      <w:pPr>
        <w:spacing w:after="0"/>
        <w:jc w:val="both"/>
        <w:rPr>
          <w:b/>
          <w:i/>
          <w:color w:val="00B0F0"/>
        </w:rPr>
      </w:pPr>
      <w:r>
        <w:t xml:space="preserve">L’AIMF, avec le soutien technique de la Ville de Paris, s’engage ici dans </w:t>
      </w:r>
      <w:r w:rsidR="008B4D15">
        <w:t>l’accompagnement des projets dans ce domaine</w:t>
      </w:r>
      <w:r w:rsidR="002F7C92">
        <w:t xml:space="preserve"> encore</w:t>
      </w:r>
      <w:r w:rsidR="008B4D15">
        <w:t xml:space="preserve"> </w:t>
      </w:r>
      <w:r w:rsidR="002F7C92">
        <w:t>peu investi par les élus locaux</w:t>
      </w:r>
      <w:r w:rsidR="008B4D15">
        <w:t> : l’appui à</w:t>
      </w:r>
      <w:r>
        <w:t xml:space="preserve"> l’accès aux services de planning familial et aux m</w:t>
      </w:r>
      <w:r w:rsidR="008B4D15">
        <w:t>éthodes contraceptives modernes pour les populations des villes membres.</w:t>
      </w:r>
      <w:r>
        <w:t xml:space="preserve"> </w:t>
      </w:r>
      <w:r w:rsidR="002F7C92">
        <w:t>Dans la phase de montage du partenariat, l</w:t>
      </w:r>
      <w:r>
        <w:t xml:space="preserve">es villes ont témoigné de leur intérêt pour ces questions dont elles peuvent s’emparer au regard des compétences qui leur sont transférées. </w:t>
      </w:r>
    </w:p>
    <w:p w:rsidR="00253C3F" w:rsidRDefault="00253C3F" w:rsidP="00CD3E71">
      <w:pPr>
        <w:pStyle w:val="Paragraphedeliste"/>
        <w:spacing w:after="0"/>
        <w:jc w:val="both"/>
      </w:pPr>
    </w:p>
    <w:p w:rsidR="00746981" w:rsidRPr="006D443F" w:rsidRDefault="00253C3F" w:rsidP="008261CE">
      <w:pPr>
        <w:spacing w:after="0"/>
        <w:jc w:val="both"/>
        <w:rPr>
          <w:b/>
          <w:i/>
          <w:color w:val="548DD4" w:themeColor="text2" w:themeTint="99"/>
        </w:rPr>
      </w:pPr>
      <w:r w:rsidRPr="006D443F">
        <w:rPr>
          <w:b/>
          <w:i/>
          <w:color w:val="548DD4" w:themeColor="text2" w:themeTint="99"/>
        </w:rPr>
        <w:t>Urgence</w:t>
      </w:r>
      <w:r w:rsidR="00524218" w:rsidRPr="006D443F">
        <w:rPr>
          <w:b/>
          <w:i/>
          <w:color w:val="548DD4" w:themeColor="text2" w:themeTint="99"/>
        </w:rPr>
        <w:t xml:space="preserve"> : préparation aux situations d’urgence </w:t>
      </w:r>
    </w:p>
    <w:p w:rsidR="00253C3F" w:rsidRDefault="00253C3F" w:rsidP="008261CE">
      <w:pPr>
        <w:spacing w:after="0"/>
        <w:jc w:val="both"/>
      </w:pPr>
      <w:r>
        <w:t xml:space="preserve">Il s’agira de travailler à des outils méthodologiques en langue française </w:t>
      </w:r>
      <w:r w:rsidR="00DD2DF6">
        <w:t xml:space="preserve">et à l’attention des administrations locales, qui puissent les aider dans </w:t>
      </w:r>
      <w:r w:rsidR="008B4D15">
        <w:t xml:space="preserve">la </w:t>
      </w:r>
      <w:r w:rsidR="00DD2DF6">
        <w:t xml:space="preserve">prévention et la gestion des risques. </w:t>
      </w:r>
      <w:bookmarkStart w:id="0" w:name="_GoBack"/>
      <w:bookmarkEnd w:id="0"/>
    </w:p>
    <w:p w:rsidR="00253C3F" w:rsidRDefault="00253C3F" w:rsidP="00253C3F">
      <w:pPr>
        <w:spacing w:after="0"/>
        <w:jc w:val="both"/>
      </w:pPr>
    </w:p>
    <w:p w:rsidR="005D12B6" w:rsidRDefault="005D12B6" w:rsidP="00253C3F">
      <w:pPr>
        <w:spacing w:after="0"/>
        <w:jc w:val="both"/>
      </w:pPr>
    </w:p>
    <w:p w:rsidR="005D12B6" w:rsidRPr="005D12B6" w:rsidRDefault="005D12B6" w:rsidP="00253C3F">
      <w:pPr>
        <w:spacing w:after="0"/>
        <w:jc w:val="both"/>
        <w:rPr>
          <w:b/>
        </w:rPr>
      </w:pPr>
      <w:r w:rsidRPr="005D12B6">
        <w:rPr>
          <w:b/>
        </w:rPr>
        <w:t>LES COLLECTIVITES LOCALES, PILOTES DE LA MISE EN ŒUVRE DE L’INITATIVE</w:t>
      </w:r>
    </w:p>
    <w:p w:rsidR="005D12B6" w:rsidRDefault="00874D6A" w:rsidP="00A65269">
      <w:pPr>
        <w:spacing w:after="0"/>
        <w:jc w:val="both"/>
      </w:pPr>
      <w:r w:rsidRPr="00F13D53">
        <w:rPr>
          <w:b/>
          <w:i/>
          <w:noProof/>
          <w:color w:val="00B0F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2B7B153" wp14:editId="4C1A798B">
                <wp:simplePos x="0" y="0"/>
                <wp:positionH relativeFrom="margin">
                  <wp:posOffset>3760470</wp:posOffset>
                </wp:positionH>
                <wp:positionV relativeFrom="margin">
                  <wp:posOffset>4618355</wp:posOffset>
                </wp:positionV>
                <wp:extent cx="1763395" cy="1706880"/>
                <wp:effectExtent l="19050" t="19050" r="27305" b="24765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1EC" w:rsidRDefault="009311EC" w:rsidP="005E5ED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AE3C51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Un leadership local pour un impact accru dans l’atteinte des ODD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5" style="position:absolute;left:0;text-align:left;margin-left:296.1pt;margin-top:363.65pt;width:138.85pt;height:13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311EC" w:rsidRDefault="009311EC" w:rsidP="005E5ED1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 w:rsidRPr="00AE3C51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Un leadership local pour un impact accru dans l’atteinte des ODD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72349" w:rsidRDefault="00850303" w:rsidP="00A65269">
      <w:pPr>
        <w:spacing w:after="0"/>
        <w:jc w:val="both"/>
      </w:pPr>
      <w:r w:rsidRPr="005D12B6">
        <w:t xml:space="preserve">La mise en œuvre </w:t>
      </w:r>
      <w:r w:rsidR="002F7C92" w:rsidRPr="005D12B6">
        <w:t>de l’Initiative</w:t>
      </w:r>
      <w:r w:rsidR="002F7C92">
        <w:t xml:space="preserve"> </w:t>
      </w:r>
      <w:r>
        <w:t xml:space="preserve">s’appuiera, comme tous les projets pilotés par l’AIMF, sur les municipalités bénéficiaires. </w:t>
      </w:r>
      <w:r w:rsidR="00413962">
        <w:t>Celles-ci apporte</w:t>
      </w:r>
      <w:r w:rsidR="002F7C92">
        <w:t>ront également un cofinancement</w:t>
      </w:r>
      <w:r w:rsidR="005D12B6">
        <w:t xml:space="preserve"> aux projets</w:t>
      </w:r>
      <w:r w:rsidR="002F7C92">
        <w:t xml:space="preserve">. </w:t>
      </w:r>
    </w:p>
    <w:p w:rsidR="008B4D15" w:rsidRDefault="008B4D15" w:rsidP="00A65269">
      <w:pPr>
        <w:spacing w:after="0"/>
        <w:jc w:val="both"/>
      </w:pPr>
    </w:p>
    <w:p w:rsidR="005E5ED1" w:rsidRPr="005E5ED1" w:rsidRDefault="005E5ED1" w:rsidP="00A65269">
      <w:pPr>
        <w:spacing w:after="0"/>
        <w:jc w:val="both"/>
        <w:rPr>
          <w:sz w:val="10"/>
          <w:szCs w:val="10"/>
        </w:rPr>
      </w:pPr>
    </w:p>
    <w:p w:rsidR="005E5ED1" w:rsidRDefault="008B4D15" w:rsidP="00F13D53">
      <w:pPr>
        <w:spacing w:after="0"/>
        <w:jc w:val="both"/>
      </w:pPr>
      <w:r>
        <w:t xml:space="preserve">Des processus de sélection seront mis en place, d’une façon légèrement différentes selon le thème traité : il s’agira d’appel à projet ouvert à l’ensemble </w:t>
      </w:r>
      <w:r w:rsidRPr="002E15D6">
        <w:t xml:space="preserve">du </w:t>
      </w:r>
      <w:r w:rsidR="00524218" w:rsidRPr="002E15D6">
        <w:t>réseau pour la planification familiale</w:t>
      </w:r>
      <w:r w:rsidRPr="002E15D6">
        <w:t>,</w:t>
      </w:r>
      <w:r>
        <w:t xml:space="preserve"> et de consultation</w:t>
      </w:r>
      <w:r w:rsidR="00413962">
        <w:t>s</w:t>
      </w:r>
      <w:r>
        <w:t xml:space="preserve"> restreinte</w:t>
      </w:r>
      <w:r w:rsidR="00413962">
        <w:t>s sur la base de</w:t>
      </w:r>
      <w:r>
        <w:t xml:space="preserve"> critères préétablis pour </w:t>
      </w:r>
      <w:r w:rsidR="005E5ED1">
        <w:t xml:space="preserve">l’urgence et l’assainissement. </w:t>
      </w:r>
    </w:p>
    <w:p w:rsidR="005E5ED1" w:rsidRDefault="005E5ED1" w:rsidP="00F13D53">
      <w:pPr>
        <w:spacing w:after="0"/>
        <w:jc w:val="both"/>
      </w:pPr>
    </w:p>
    <w:p w:rsidR="00F13D53" w:rsidRDefault="00F13D53" w:rsidP="00F13D53">
      <w:pPr>
        <w:spacing w:after="0"/>
        <w:jc w:val="both"/>
      </w:pPr>
      <w:r>
        <w:t>L’initiative permettra de f</w:t>
      </w:r>
      <w:r w:rsidR="00241A31">
        <w:t xml:space="preserve">aire émerger des villes francophones leaders sur des solutions innovantes </w:t>
      </w:r>
      <w:r>
        <w:t xml:space="preserve">pour le développement urbain. </w:t>
      </w:r>
    </w:p>
    <w:p w:rsidR="00F13D53" w:rsidRDefault="00F13D53" w:rsidP="00F13D53">
      <w:pPr>
        <w:spacing w:after="0"/>
        <w:jc w:val="both"/>
      </w:pPr>
    </w:p>
    <w:p w:rsidR="00874D6A" w:rsidRDefault="00874D6A" w:rsidP="00F13D53">
      <w:pPr>
        <w:spacing w:after="0"/>
        <w:jc w:val="both"/>
      </w:pPr>
    </w:p>
    <w:p w:rsidR="00874D6A" w:rsidRDefault="00874D6A" w:rsidP="00F13D53">
      <w:pPr>
        <w:spacing w:after="0"/>
        <w:jc w:val="both"/>
      </w:pPr>
    </w:p>
    <w:p w:rsidR="00863A68" w:rsidRDefault="00863A68" w:rsidP="00F13D53">
      <w:pPr>
        <w:spacing w:after="0"/>
        <w:jc w:val="both"/>
      </w:pPr>
    </w:p>
    <w:p w:rsidR="00874D6A" w:rsidRDefault="00874D6A" w:rsidP="00F13D53">
      <w:pPr>
        <w:spacing w:after="0"/>
        <w:jc w:val="both"/>
      </w:pPr>
    </w:p>
    <w:p w:rsidR="00874D6A" w:rsidRDefault="00874D6A" w:rsidP="00F13D53">
      <w:pPr>
        <w:spacing w:after="0"/>
        <w:jc w:val="both"/>
      </w:pPr>
    </w:p>
    <w:p w:rsidR="00874D6A" w:rsidRDefault="00874D6A" w:rsidP="00A65269">
      <w:pPr>
        <w:spacing w:after="0"/>
        <w:jc w:val="both"/>
      </w:pPr>
    </w:p>
    <w:tbl>
      <w:tblPr>
        <w:tblStyle w:val="Grilledutableau"/>
        <w:tblpPr w:leftFromText="141" w:rightFromText="141" w:vertAnchor="text" w:horzAnchor="margin" w:tblpY="-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1566"/>
        <w:gridCol w:w="1535"/>
        <w:gridCol w:w="1535"/>
        <w:gridCol w:w="1535"/>
        <w:gridCol w:w="1535"/>
      </w:tblGrid>
      <w:tr w:rsidR="009311EC" w:rsidTr="009311EC">
        <w:tc>
          <w:tcPr>
            <w:tcW w:w="9272" w:type="dxa"/>
            <w:gridSpan w:val="6"/>
          </w:tcPr>
          <w:p w:rsidR="009311EC" w:rsidRDefault="009311EC" w:rsidP="009311EC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F38F15" wp14:editId="0EC4C032">
                  <wp:extent cx="2229164" cy="341227"/>
                  <wp:effectExtent l="0" t="0" r="0" b="1905"/>
                  <wp:docPr id="11" name="Image 11" descr="Z:\ODD\F_Logo_No UN Emblem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ODD\F_Logo_No UN Emblem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990" cy="342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1EC" w:rsidTr="009311EC">
        <w:tc>
          <w:tcPr>
            <w:tcW w:w="1566" w:type="dxa"/>
          </w:tcPr>
          <w:p w:rsidR="009311EC" w:rsidRDefault="009311EC" w:rsidP="009311E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D0DEE0B" wp14:editId="0A71F876">
                  <wp:extent cx="792480" cy="792480"/>
                  <wp:effectExtent l="0" t="0" r="7620" b="7620"/>
                  <wp:docPr id="5" name="Image 5" descr="Z:\ODD\F_SDG goals_icons-individual-cmyk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ODD\F_SDG goals_icons-individual-cmyk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521" cy="79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9311EC" w:rsidRDefault="009311EC" w:rsidP="009311E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1557FE3" wp14:editId="58180A12">
                  <wp:extent cx="792480" cy="792480"/>
                  <wp:effectExtent l="0" t="0" r="7620" b="7620"/>
                  <wp:docPr id="6" name="Image 6" descr="Z:\ODD\F_SDG goals_icons-individual-cmyk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ODD\F_SDG goals_icons-individual-cmyk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509" cy="785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9311EC" w:rsidRDefault="009311EC" w:rsidP="009311E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D472FE1" wp14:editId="1F048E53">
                  <wp:extent cx="792480" cy="792480"/>
                  <wp:effectExtent l="0" t="0" r="7620" b="7620"/>
                  <wp:docPr id="7" name="Image 7" descr="Z:\ODD\F_SDG goals_icons-individual-cmyk-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ODD\F_SDG goals_icons-individual-cmyk-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510" cy="78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9311EC" w:rsidRDefault="009311EC" w:rsidP="009311E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CD4D9DA" wp14:editId="5CB62F8C">
                  <wp:extent cx="792480" cy="792480"/>
                  <wp:effectExtent l="0" t="0" r="7620" b="7620"/>
                  <wp:docPr id="8" name="Image 8" descr="Z:\ODD\F_SDG goals_icons-individual-cmyk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ODD\F_SDG goals_icons-individual-cmyk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973" cy="78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9311EC" w:rsidRDefault="009311EC" w:rsidP="009311E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44B0645" wp14:editId="5D3C5AEF">
                  <wp:extent cx="794657" cy="794657"/>
                  <wp:effectExtent l="0" t="0" r="5715" b="5715"/>
                  <wp:docPr id="9" name="Image 9" descr="Z:\ODD\F_SDG goals_icons-individual-cmyk-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ODD\F_SDG goals_icons-individual-cmyk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385" cy="79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9311EC" w:rsidRDefault="009311EC" w:rsidP="009311E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F7962CE" wp14:editId="1ED06CD4">
                  <wp:extent cx="792480" cy="792480"/>
                  <wp:effectExtent l="0" t="0" r="7620" b="7620"/>
                  <wp:docPr id="10" name="Image 10" descr="Z:\ODD\F_SDG goals_icons-individual-cmyk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ODD\F_SDG goals_icons-individual-cmyk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122" cy="789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709D" w:rsidRDefault="00FB709D" w:rsidP="00A65269">
      <w:pPr>
        <w:spacing w:after="0"/>
        <w:jc w:val="both"/>
      </w:pPr>
    </w:p>
    <w:sectPr w:rsidR="00FB709D" w:rsidSect="00DB2D7A">
      <w:headerReference w:type="first" r:id="rId18"/>
      <w:pgSz w:w="11906" w:h="16838" w:code="9"/>
      <w:pgMar w:top="568" w:right="1418" w:bottom="709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EC" w:rsidRDefault="009311EC" w:rsidP="00202166">
      <w:pPr>
        <w:spacing w:after="0" w:line="240" w:lineRule="auto"/>
      </w:pPr>
      <w:r>
        <w:separator/>
      </w:r>
    </w:p>
  </w:endnote>
  <w:endnote w:type="continuationSeparator" w:id="0">
    <w:p w:rsidR="009311EC" w:rsidRDefault="009311EC" w:rsidP="0020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EC" w:rsidRDefault="009311EC" w:rsidP="00202166">
      <w:pPr>
        <w:spacing w:after="0" w:line="240" w:lineRule="auto"/>
      </w:pPr>
      <w:r>
        <w:separator/>
      </w:r>
    </w:p>
  </w:footnote>
  <w:footnote w:type="continuationSeparator" w:id="0">
    <w:p w:rsidR="009311EC" w:rsidRDefault="009311EC" w:rsidP="0020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</w:tblGrid>
    <w:tr w:rsidR="009311EC" w:rsidTr="00F13D53">
      <w:tc>
        <w:tcPr>
          <w:tcW w:w="4606" w:type="dxa"/>
        </w:tcPr>
        <w:p w:rsidR="009311EC" w:rsidRPr="00F22CD2" w:rsidRDefault="009311EC" w:rsidP="00F13D53">
          <w:pPr>
            <w:pStyle w:val="En-tte"/>
            <w:jc w:val="right"/>
            <w:rPr>
              <w:sz w:val="16"/>
            </w:rPr>
          </w:pPr>
        </w:p>
      </w:tc>
    </w:tr>
  </w:tbl>
  <w:p w:rsidR="009311EC" w:rsidRDefault="009311E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5203"/>
    <w:multiLevelType w:val="hybridMultilevel"/>
    <w:tmpl w:val="A830A502"/>
    <w:lvl w:ilvl="0" w:tplc="DF14AF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-2"/>
        <w:position w:val="0"/>
        <w14:stylisticSet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0154"/>
    <w:multiLevelType w:val="hybridMultilevel"/>
    <w:tmpl w:val="A5C85534"/>
    <w:lvl w:ilvl="0" w:tplc="4DD2DD5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17450"/>
    <w:multiLevelType w:val="hybridMultilevel"/>
    <w:tmpl w:val="D31EA27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52936"/>
    <w:multiLevelType w:val="hybridMultilevel"/>
    <w:tmpl w:val="8408B82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6B4F23"/>
    <w:multiLevelType w:val="hybridMultilevel"/>
    <w:tmpl w:val="21D8C59A"/>
    <w:lvl w:ilvl="0" w:tplc="2BF242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A4458"/>
    <w:multiLevelType w:val="hybridMultilevel"/>
    <w:tmpl w:val="938CD36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15662E"/>
    <w:multiLevelType w:val="hybridMultilevel"/>
    <w:tmpl w:val="98C07E5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927CF5"/>
    <w:multiLevelType w:val="hybridMultilevel"/>
    <w:tmpl w:val="5254CE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69"/>
    <w:rsid w:val="000357EB"/>
    <w:rsid w:val="00161E1E"/>
    <w:rsid w:val="00180F88"/>
    <w:rsid w:val="00202166"/>
    <w:rsid w:val="00241A31"/>
    <w:rsid w:val="00253C3F"/>
    <w:rsid w:val="002900B4"/>
    <w:rsid w:val="002E15D6"/>
    <w:rsid w:val="002F6DBA"/>
    <w:rsid w:val="002F7C92"/>
    <w:rsid w:val="003504AD"/>
    <w:rsid w:val="003741C4"/>
    <w:rsid w:val="003801C2"/>
    <w:rsid w:val="0038260C"/>
    <w:rsid w:val="00413962"/>
    <w:rsid w:val="004247BB"/>
    <w:rsid w:val="004D01EC"/>
    <w:rsid w:val="005173E7"/>
    <w:rsid w:val="00524218"/>
    <w:rsid w:val="005D12B6"/>
    <w:rsid w:val="005E5ED1"/>
    <w:rsid w:val="006214C8"/>
    <w:rsid w:val="0063081E"/>
    <w:rsid w:val="006B6574"/>
    <w:rsid w:val="006C2FE7"/>
    <w:rsid w:val="006D443F"/>
    <w:rsid w:val="00746981"/>
    <w:rsid w:val="007E4585"/>
    <w:rsid w:val="008140F6"/>
    <w:rsid w:val="008261CE"/>
    <w:rsid w:val="00850303"/>
    <w:rsid w:val="00863A68"/>
    <w:rsid w:val="00874D6A"/>
    <w:rsid w:val="008B4D15"/>
    <w:rsid w:val="008D4F14"/>
    <w:rsid w:val="009154EA"/>
    <w:rsid w:val="009311EC"/>
    <w:rsid w:val="009328A2"/>
    <w:rsid w:val="00937DDC"/>
    <w:rsid w:val="009A3071"/>
    <w:rsid w:val="00A61616"/>
    <w:rsid w:val="00A65269"/>
    <w:rsid w:val="00A72349"/>
    <w:rsid w:val="00AA6C10"/>
    <w:rsid w:val="00AE3C51"/>
    <w:rsid w:val="00B128E9"/>
    <w:rsid w:val="00B50B97"/>
    <w:rsid w:val="00CD3E71"/>
    <w:rsid w:val="00CE0B31"/>
    <w:rsid w:val="00D67728"/>
    <w:rsid w:val="00DB2D7A"/>
    <w:rsid w:val="00DD2DF6"/>
    <w:rsid w:val="00DF7A38"/>
    <w:rsid w:val="00E02A50"/>
    <w:rsid w:val="00EC4135"/>
    <w:rsid w:val="00F13D53"/>
    <w:rsid w:val="00F8004F"/>
    <w:rsid w:val="00F824BB"/>
    <w:rsid w:val="00FA1D7C"/>
    <w:rsid w:val="00F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5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5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140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66"/>
  </w:style>
  <w:style w:type="paragraph" w:styleId="Pieddepage">
    <w:name w:val="footer"/>
    <w:basedOn w:val="Normal"/>
    <w:link w:val="PieddepageCar"/>
    <w:uiPriority w:val="99"/>
    <w:unhideWhenUsed/>
    <w:rsid w:val="0020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66"/>
  </w:style>
  <w:style w:type="table" w:styleId="Grilledutableau">
    <w:name w:val="Table Grid"/>
    <w:basedOn w:val="TableauNormal"/>
    <w:rsid w:val="0020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1CE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504A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504A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504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5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5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140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66"/>
  </w:style>
  <w:style w:type="paragraph" w:styleId="Pieddepage">
    <w:name w:val="footer"/>
    <w:basedOn w:val="Normal"/>
    <w:link w:val="PieddepageCar"/>
    <w:uiPriority w:val="99"/>
    <w:unhideWhenUsed/>
    <w:rsid w:val="0020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66"/>
  </w:style>
  <w:style w:type="table" w:styleId="Grilledutableau">
    <w:name w:val="Table Grid"/>
    <w:basedOn w:val="TableauNormal"/>
    <w:rsid w:val="0020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1CE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504A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504A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50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797C-911A-4DBA-B5AE-D35AF015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Ivision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GUILLAUME</dc:creator>
  <cp:lastModifiedBy>Julie GUILLAUME</cp:lastModifiedBy>
  <cp:revision>9</cp:revision>
  <cp:lastPrinted>2017-06-12T14:58:00Z</cp:lastPrinted>
  <dcterms:created xsi:type="dcterms:W3CDTF">2017-06-08T15:40:00Z</dcterms:created>
  <dcterms:modified xsi:type="dcterms:W3CDTF">2017-06-12T15:10:00Z</dcterms:modified>
</cp:coreProperties>
</file>