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516"/>
        <w:gridCol w:w="2176"/>
      </w:tblGrid>
      <w:tr w:rsidR="00CC513F" w:rsidTr="00CC513F">
        <w:tc>
          <w:tcPr>
            <w:tcW w:w="2518" w:type="dxa"/>
          </w:tcPr>
          <w:p w:rsidR="00CC513F" w:rsidRDefault="00CC513F" w:rsidP="00CC513F">
            <w:pPr>
              <w:spacing w:line="276" w:lineRule="auto"/>
              <w:rPr>
                <w:rFonts w:ascii="Calibri" w:hAnsi="Calibri" w:cs="Calibri"/>
                <w:b/>
                <w:sz w:val="24"/>
                <w:szCs w:val="24"/>
              </w:rPr>
            </w:pPr>
            <w:r>
              <w:rPr>
                <w:noProof/>
              </w:rPr>
              <w:drawing>
                <wp:inline distT="0" distB="0" distL="0" distR="0" wp14:anchorId="1A08BDB4" wp14:editId="5C625B09">
                  <wp:extent cx="1384300" cy="773603"/>
                  <wp:effectExtent l="0" t="0" r="6350" b="762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964" cy="772856"/>
                          </a:xfrm>
                          <a:prstGeom prst="rect">
                            <a:avLst/>
                          </a:prstGeom>
                          <a:noFill/>
                          <a:ln>
                            <a:noFill/>
                          </a:ln>
                          <a:effectLst/>
                          <a:extLst/>
                        </pic:spPr>
                      </pic:pic>
                    </a:graphicData>
                  </a:graphic>
                </wp:inline>
              </w:drawing>
            </w:r>
          </w:p>
        </w:tc>
        <w:tc>
          <w:tcPr>
            <w:tcW w:w="4516" w:type="dxa"/>
          </w:tcPr>
          <w:p w:rsidR="00CC513F" w:rsidRDefault="00CC513F" w:rsidP="00CC513F">
            <w:pPr>
              <w:spacing w:after="0" w:line="276" w:lineRule="auto"/>
              <w:jc w:val="center"/>
              <w:rPr>
                <w:rFonts w:ascii="Calibri" w:hAnsi="Calibri" w:cs="Calibri"/>
                <w:b/>
                <w:sz w:val="24"/>
                <w:szCs w:val="24"/>
              </w:rPr>
            </w:pPr>
          </w:p>
          <w:p w:rsidR="00CC513F" w:rsidRDefault="00CC513F" w:rsidP="00CC513F">
            <w:pPr>
              <w:spacing w:after="0" w:line="276" w:lineRule="auto"/>
              <w:jc w:val="center"/>
              <w:rPr>
                <w:rFonts w:ascii="Calibri" w:hAnsi="Calibri" w:cs="Calibri"/>
                <w:b/>
                <w:sz w:val="24"/>
                <w:szCs w:val="24"/>
              </w:rPr>
            </w:pPr>
            <w:r>
              <w:rPr>
                <w:rFonts w:ascii="Calibri" w:hAnsi="Calibri" w:cs="Calibri"/>
                <w:b/>
                <w:sz w:val="24"/>
                <w:szCs w:val="24"/>
              </w:rPr>
              <w:t>PARTENARI</w:t>
            </w:r>
            <w:r w:rsidR="003B2465">
              <w:rPr>
                <w:rFonts w:ascii="Calibri" w:hAnsi="Calibri" w:cs="Calibri"/>
                <w:b/>
                <w:sz w:val="24"/>
                <w:szCs w:val="24"/>
              </w:rPr>
              <w:t>A</w:t>
            </w:r>
            <w:r>
              <w:rPr>
                <w:rFonts w:ascii="Calibri" w:hAnsi="Calibri" w:cs="Calibri"/>
                <w:b/>
                <w:sz w:val="24"/>
                <w:szCs w:val="24"/>
              </w:rPr>
              <w:t>T STRATEGIQUE</w:t>
            </w:r>
          </w:p>
          <w:p w:rsidR="00CC513F" w:rsidRDefault="00CC513F" w:rsidP="00CC513F">
            <w:pPr>
              <w:spacing w:after="0" w:line="276" w:lineRule="auto"/>
              <w:jc w:val="center"/>
              <w:rPr>
                <w:rFonts w:ascii="Calibri" w:hAnsi="Calibri" w:cs="Calibri"/>
                <w:b/>
                <w:sz w:val="24"/>
                <w:szCs w:val="24"/>
              </w:rPr>
            </w:pPr>
            <w:r>
              <w:rPr>
                <w:rFonts w:ascii="Calibri" w:hAnsi="Calibri" w:cs="Calibri"/>
                <w:b/>
                <w:sz w:val="24"/>
                <w:szCs w:val="24"/>
              </w:rPr>
              <w:t>AIMF-UNION EUROPEENNE</w:t>
            </w:r>
          </w:p>
          <w:p w:rsidR="00CC513F" w:rsidRDefault="00CC513F" w:rsidP="00CC513F">
            <w:pPr>
              <w:spacing w:after="0" w:line="276" w:lineRule="auto"/>
              <w:jc w:val="center"/>
              <w:rPr>
                <w:rFonts w:ascii="Calibri" w:hAnsi="Calibri" w:cs="Calibri"/>
                <w:b/>
                <w:sz w:val="24"/>
                <w:szCs w:val="24"/>
              </w:rPr>
            </w:pPr>
            <w:r w:rsidRPr="00CC513F">
              <w:rPr>
                <w:rFonts w:ascii="Calibri" w:hAnsi="Calibri" w:cs="Calibri"/>
                <w:b/>
                <w:color w:val="548DD4" w:themeColor="text2" w:themeTint="99"/>
                <w:sz w:val="24"/>
                <w:szCs w:val="24"/>
              </w:rPr>
              <w:t>2015-2020</w:t>
            </w:r>
          </w:p>
        </w:tc>
        <w:tc>
          <w:tcPr>
            <w:tcW w:w="2176" w:type="dxa"/>
          </w:tcPr>
          <w:p w:rsidR="00CC513F" w:rsidRDefault="00CC513F" w:rsidP="00CC513F">
            <w:pPr>
              <w:spacing w:line="276" w:lineRule="auto"/>
              <w:jc w:val="right"/>
              <w:rPr>
                <w:rFonts w:ascii="Calibri" w:hAnsi="Calibri" w:cs="Calibri"/>
                <w:b/>
                <w:sz w:val="24"/>
                <w:szCs w:val="24"/>
              </w:rPr>
            </w:pPr>
            <w:r>
              <w:rPr>
                <w:noProof/>
              </w:rPr>
              <w:drawing>
                <wp:inline distT="0" distB="0" distL="0" distR="0" wp14:anchorId="444B4E66" wp14:editId="180B68A3">
                  <wp:extent cx="1244600" cy="735445"/>
                  <wp:effectExtent l="0" t="0" r="0" b="7620"/>
                  <wp:docPr id="9" name="Picture 2" descr="Z:\Logos\logos partenaires\logos format harmonise\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Z:\Logos\logos partenaires\logos format harmonise\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303" cy="735270"/>
                          </a:xfrm>
                          <a:prstGeom prst="rect">
                            <a:avLst/>
                          </a:prstGeom>
                          <a:noFill/>
                          <a:extLst/>
                        </pic:spPr>
                      </pic:pic>
                    </a:graphicData>
                  </a:graphic>
                </wp:inline>
              </w:drawing>
            </w:r>
          </w:p>
        </w:tc>
      </w:tr>
    </w:tbl>
    <w:p w:rsidR="00AD5C51" w:rsidRDefault="00AD5C51" w:rsidP="00474288">
      <w:pPr>
        <w:spacing w:line="276" w:lineRule="auto"/>
        <w:jc w:val="both"/>
        <w:rPr>
          <w:rFonts w:ascii="Calibri" w:hAnsi="Calibri" w:cs="Calibri"/>
          <w:b/>
          <w:sz w:val="24"/>
          <w:szCs w:val="24"/>
        </w:rPr>
      </w:pPr>
      <w:bookmarkStart w:id="0" w:name="_GoBack"/>
      <w:bookmarkEnd w:id="0"/>
    </w:p>
    <w:p w:rsidR="00474288" w:rsidRPr="00474288" w:rsidRDefault="00474288" w:rsidP="00474288">
      <w:pPr>
        <w:spacing w:line="276" w:lineRule="auto"/>
        <w:jc w:val="both"/>
        <w:rPr>
          <w:rFonts w:ascii="Calibri" w:hAnsi="Calibri" w:cs="Calibri"/>
          <w:b/>
          <w:sz w:val="24"/>
          <w:szCs w:val="24"/>
        </w:rPr>
      </w:pPr>
      <w:r>
        <w:rPr>
          <w:rFonts w:ascii="Calibri" w:hAnsi="Calibri" w:cs="Calibri"/>
          <w:b/>
          <w:sz w:val="24"/>
          <w:szCs w:val="24"/>
        </w:rPr>
        <w:t>UNE NOUVELLE ETAPE DANS LA RELATION ENTRE L’UE et l’AIMF</w:t>
      </w:r>
    </w:p>
    <w:p w:rsidR="00474288" w:rsidRDefault="00474288" w:rsidP="00B770A9">
      <w:pPr>
        <w:spacing w:line="240" w:lineRule="auto"/>
        <w:jc w:val="both"/>
        <w:rPr>
          <w:rFonts w:ascii="Calibri" w:hAnsi="Calibri" w:cs="Calibri"/>
        </w:rPr>
      </w:pPr>
      <w:r w:rsidRPr="00474288">
        <w:rPr>
          <w:rFonts w:ascii="Calibri" w:hAnsi="Calibri" w:cs="Calibri"/>
        </w:rPr>
        <w:t xml:space="preserve">Depuis 2015, la coopération entre l’AIMF et l’Union européenne a pris une dimension nouvelle avec la signature, pour 7 ans (2015-2020), d’un Partenariat </w:t>
      </w:r>
      <w:r w:rsidR="00A34C5C" w:rsidRPr="00474288">
        <w:rPr>
          <w:rFonts w:ascii="Calibri" w:hAnsi="Calibri" w:cs="Calibri"/>
        </w:rPr>
        <w:t>stratégique</w:t>
      </w:r>
      <w:r w:rsidR="00B770A9">
        <w:rPr>
          <w:rFonts w:ascii="Calibri" w:hAnsi="Calibri" w:cs="Calibri"/>
        </w:rPr>
        <w:t xml:space="preserve">. </w:t>
      </w:r>
    </w:p>
    <w:p w:rsidR="00474288" w:rsidRPr="00474288" w:rsidRDefault="00B770A9" w:rsidP="00B770A9">
      <w:pPr>
        <w:spacing w:line="240" w:lineRule="auto"/>
        <w:jc w:val="both"/>
        <w:rPr>
          <w:rFonts w:ascii="Calibri" w:hAnsi="Calibri" w:cs="Calibri"/>
        </w:rPr>
      </w:pPr>
      <w:r w:rsidRPr="00474288">
        <w:rPr>
          <w:rFonts w:ascii="Calibri" w:hAnsi="Calibri" w:cs="Calibri"/>
          <w:noProof/>
          <w:lang w:eastAsia="fr-FR"/>
        </w:rPr>
        <mc:AlternateContent>
          <mc:Choice Requires="wps">
            <w:drawing>
              <wp:anchor distT="0" distB="0" distL="114300" distR="114300" simplePos="0" relativeHeight="251659264" behindDoc="0" locked="0" layoutInCell="0" allowOverlap="1" wp14:anchorId="7B08F460" wp14:editId="219407E7">
                <wp:simplePos x="0" y="0"/>
                <wp:positionH relativeFrom="margin">
                  <wp:posOffset>3213735</wp:posOffset>
                </wp:positionH>
                <wp:positionV relativeFrom="margin">
                  <wp:posOffset>2039620</wp:posOffset>
                </wp:positionV>
                <wp:extent cx="2436495" cy="1529715"/>
                <wp:effectExtent l="19050" t="19050" r="20955" b="13335"/>
                <wp:wrapSquare wrapText="bothSides"/>
                <wp:docPr id="6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52971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B770A9" w:rsidRDefault="00B770A9">
                            <w:pPr>
                              <w:spacing w:after="0"/>
                              <w:jc w:val="center"/>
                              <w:rPr>
                                <w:i/>
                                <w:iCs/>
                                <w:color w:val="7F7F7F" w:themeColor="text1" w:themeTint="80"/>
                                <w:sz w:val="24"/>
                              </w:rPr>
                            </w:pPr>
                            <w:r w:rsidRPr="00127873">
                              <w:rPr>
                                <w:i/>
                                <w:iCs/>
                                <w:color w:val="7F7F7F" w:themeColor="text1" w:themeTint="80"/>
                                <w:sz w:val="10"/>
                                <w:szCs w:val="10"/>
                              </w:rPr>
                              <w:br/>
                            </w:r>
                            <w:r>
                              <w:rPr>
                                <w:i/>
                                <w:iCs/>
                                <w:color w:val="7F7F7F" w:themeColor="text1" w:themeTint="80"/>
                                <w:sz w:val="24"/>
                              </w:rPr>
                              <w:t>Le Partenariat stratégique est un accord politique à travers lequel la Commission européenne et l’AIMF s’engagent à mener des actions  fondées sur des valeurs et des objectifs communs.</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6" type="#_x0000_t185" style="position:absolute;left:0;text-align:left;margin-left:253.05pt;margin-top:160.6pt;width:191.85pt;height:12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" o:allowincell="f" adj="1739" fillcolor="#943634" strokecolor="#9bbb59" strokeweight="3pt">
                <v:shadow color="#5d7035" offset="1pt,1pt"/>
                <v:textbox inset="3.6pt,,3.6pt">
                  <w:txbxContent>
                    <w:p w:rsidR="00B770A9" w:rsidRDefault="00B770A9">
                      <w:pPr>
                        <w:spacing w:after="0"/>
                        <w:jc w:val="center"/>
                        <w:rPr>
                          <w:i/>
                          <w:iCs/>
                          <w:color w:val="7F7F7F" w:themeColor="text1" w:themeTint="80"/>
                          <w:sz w:val="24"/>
                        </w:rPr>
                      </w:pPr>
                      <w:r w:rsidRPr="00127873">
                        <w:rPr>
                          <w:i/>
                          <w:iCs/>
                          <w:color w:val="7F7F7F" w:themeColor="text1" w:themeTint="80"/>
                          <w:sz w:val="10"/>
                          <w:szCs w:val="10"/>
                        </w:rPr>
                        <w:br/>
                      </w:r>
                      <w:r>
                        <w:rPr>
                          <w:i/>
                          <w:iCs/>
                          <w:color w:val="7F7F7F" w:themeColor="text1" w:themeTint="80"/>
                          <w:sz w:val="24"/>
                        </w:rPr>
                        <w:t>Le Partenariat stratégique est un accord politique à travers lequel la Commission européenne et l’AIMF s’engagent à mener des actions  fondées sur des valeurs et des objectifs communs.</w:t>
                      </w:r>
                    </w:p>
                  </w:txbxContent>
                </v:textbox>
                <w10:wrap type="square" anchorx="margin" anchory="margin"/>
              </v:shape>
            </w:pict>
          </mc:Fallback>
        </mc:AlternateContent>
      </w:r>
      <w:r w:rsidR="00474288" w:rsidRPr="00474288">
        <w:rPr>
          <w:rFonts w:ascii="Calibri" w:hAnsi="Calibri" w:cs="Calibri"/>
        </w:rPr>
        <w:t>C</w:t>
      </w:r>
      <w:r w:rsidR="006A100F" w:rsidRPr="00474288">
        <w:rPr>
          <w:rFonts w:ascii="Calibri" w:hAnsi="Calibri" w:cs="Calibri"/>
        </w:rPr>
        <w:t xml:space="preserve">onclu le 28 janvier 2015 entre la Présidente de l’AIMF, Madame Anne HIDALGO et le Commissaire européen au Développement, Monsieur </w:t>
      </w:r>
      <w:proofErr w:type="spellStart"/>
      <w:r w:rsidR="006A100F" w:rsidRPr="00474288">
        <w:rPr>
          <w:rFonts w:ascii="Calibri" w:hAnsi="Calibri" w:cs="Calibri"/>
        </w:rPr>
        <w:t>Neven</w:t>
      </w:r>
      <w:proofErr w:type="spellEnd"/>
      <w:r w:rsidR="006A100F" w:rsidRPr="00474288">
        <w:rPr>
          <w:rFonts w:ascii="Calibri" w:hAnsi="Calibri" w:cs="Calibri"/>
        </w:rPr>
        <w:t xml:space="preserve"> MIMICA</w:t>
      </w:r>
      <w:r w:rsidR="00474288" w:rsidRPr="00474288">
        <w:rPr>
          <w:rFonts w:ascii="Calibri" w:hAnsi="Calibri" w:cs="Calibri"/>
        </w:rPr>
        <w:t xml:space="preserve">, </w:t>
      </w:r>
      <w:r w:rsidR="006A100F" w:rsidRPr="00474288">
        <w:rPr>
          <w:rFonts w:ascii="Calibri" w:hAnsi="Calibri" w:cs="Calibri"/>
        </w:rPr>
        <w:t xml:space="preserve"> </w:t>
      </w:r>
      <w:r w:rsidR="00474288" w:rsidRPr="00474288">
        <w:rPr>
          <w:rFonts w:ascii="Calibri" w:hAnsi="Calibri" w:cs="Calibri"/>
        </w:rPr>
        <w:t xml:space="preserve">pour la période 2015-2020, le Partenariat stratégique est un accord politique à travers lequel la Commission européenne et l’AIMF s’engagent à mener des actions fondées sur des valeurs et des objectifs communs pour lutter contre la pauvreté et les inégalités, pour promouvoir </w:t>
      </w:r>
      <w:r w:rsidR="00474288">
        <w:rPr>
          <w:rFonts w:ascii="Calibri" w:hAnsi="Calibri" w:cs="Calibri"/>
        </w:rPr>
        <w:t xml:space="preserve">la démocratie et le développement durable. </w:t>
      </w:r>
    </w:p>
    <w:p w:rsidR="00DC531C" w:rsidRPr="00451286" w:rsidRDefault="00451286" w:rsidP="00B770A9">
      <w:pPr>
        <w:spacing w:after="0" w:line="240" w:lineRule="auto"/>
        <w:contextualSpacing/>
        <w:jc w:val="both"/>
        <w:rPr>
          <w:rFonts w:ascii="Calibri" w:hAnsi="Calibri" w:cs="Calibri"/>
          <w:color w:val="76923C" w:themeColor="accent3" w:themeShade="BF"/>
        </w:rPr>
      </w:pPr>
      <w:r w:rsidRPr="00451286">
        <w:rPr>
          <w:rFonts w:ascii="Calibri" w:hAnsi="Calibri" w:cs="Calibri"/>
          <w:b/>
          <w:color w:val="76923C" w:themeColor="accent3" w:themeShade="BF"/>
        </w:rPr>
        <w:t>Budget</w:t>
      </w:r>
      <w:r w:rsidRPr="00451286">
        <w:rPr>
          <w:rFonts w:ascii="Calibri" w:hAnsi="Calibri" w:cs="Calibri"/>
          <w:color w:val="76923C" w:themeColor="accent3" w:themeShade="BF"/>
        </w:rPr>
        <w:t xml:space="preserve"> : </w:t>
      </w:r>
      <w:r w:rsidR="003B0953">
        <w:rPr>
          <w:rFonts w:ascii="Calibri" w:hAnsi="Calibri" w:cs="Calibri"/>
          <w:color w:val="76923C" w:themeColor="accent3" w:themeShade="BF"/>
        </w:rPr>
        <w:t>4,5</w:t>
      </w:r>
      <w:r w:rsidR="00DC531C" w:rsidRPr="00451286">
        <w:rPr>
          <w:rFonts w:ascii="Calibri" w:hAnsi="Calibri" w:cs="Calibri"/>
          <w:color w:val="76923C" w:themeColor="accent3" w:themeShade="BF"/>
        </w:rPr>
        <w:t xml:space="preserve"> millions </w:t>
      </w:r>
      <w:r w:rsidR="00D71EA3" w:rsidRPr="00451286">
        <w:rPr>
          <w:rFonts w:ascii="Calibri" w:hAnsi="Calibri" w:cs="Calibri"/>
          <w:color w:val="76923C" w:themeColor="accent3" w:themeShade="BF"/>
        </w:rPr>
        <w:t xml:space="preserve">d’euros </w:t>
      </w:r>
      <w:r w:rsidRPr="00451286">
        <w:rPr>
          <w:rFonts w:ascii="Calibri" w:hAnsi="Calibri" w:cs="Calibri"/>
          <w:color w:val="76923C" w:themeColor="accent3" w:themeShade="BF"/>
        </w:rPr>
        <w:t>pour 2015/2018</w:t>
      </w:r>
    </w:p>
    <w:p w:rsidR="00DC531C" w:rsidRDefault="00DC531C" w:rsidP="00127873">
      <w:pPr>
        <w:spacing w:after="0" w:line="276" w:lineRule="auto"/>
        <w:contextualSpacing/>
        <w:jc w:val="both"/>
        <w:rPr>
          <w:rFonts w:ascii="Calibri" w:hAnsi="Calibri" w:cs="Calibri"/>
          <w:b/>
          <w:sz w:val="24"/>
          <w:szCs w:val="24"/>
        </w:rPr>
      </w:pPr>
    </w:p>
    <w:p w:rsidR="00B770A9" w:rsidRDefault="00B770A9" w:rsidP="00127873">
      <w:pPr>
        <w:spacing w:after="0" w:line="276" w:lineRule="auto"/>
        <w:contextualSpacing/>
        <w:jc w:val="both"/>
        <w:rPr>
          <w:rFonts w:ascii="Calibri" w:hAnsi="Calibri" w:cs="Calibri"/>
          <w:b/>
          <w:sz w:val="24"/>
          <w:szCs w:val="24"/>
        </w:rPr>
      </w:pPr>
    </w:p>
    <w:p w:rsidR="00127873" w:rsidRPr="00127873" w:rsidRDefault="0073152E" w:rsidP="00127873">
      <w:pPr>
        <w:spacing w:after="0" w:line="276" w:lineRule="auto"/>
        <w:contextualSpacing/>
        <w:jc w:val="both"/>
        <w:rPr>
          <w:rFonts w:ascii="Calibri" w:hAnsi="Calibri" w:cs="Calibri"/>
          <w:b/>
          <w:sz w:val="24"/>
          <w:szCs w:val="24"/>
        </w:rPr>
      </w:pPr>
      <w:r>
        <w:rPr>
          <w:rFonts w:ascii="Calibri" w:hAnsi="Calibri" w:cs="Calibri"/>
          <w:b/>
          <w:sz w:val="24"/>
          <w:szCs w:val="24"/>
        </w:rPr>
        <w:t>RENFORCER LA POSITION DES AUTORITES LOCALES ET MOBILISER AUTOUR D’ELLES</w:t>
      </w:r>
    </w:p>
    <w:p w:rsidR="00B770A9" w:rsidRPr="00B770A9" w:rsidRDefault="00B770A9" w:rsidP="00B770A9">
      <w:pPr>
        <w:spacing w:after="0" w:line="276" w:lineRule="auto"/>
        <w:contextualSpacing/>
        <w:jc w:val="both"/>
        <w:rPr>
          <w:rFonts w:ascii="Calibri" w:hAnsi="Calibri" w:cs="Calibri"/>
          <w:sz w:val="10"/>
          <w:szCs w:val="10"/>
        </w:rPr>
      </w:pPr>
    </w:p>
    <w:p w:rsidR="00AD5C51" w:rsidRDefault="00B770A9" w:rsidP="00B770A9">
      <w:pPr>
        <w:spacing w:after="0" w:line="276" w:lineRule="auto"/>
        <w:contextualSpacing/>
        <w:jc w:val="both"/>
        <w:rPr>
          <w:rFonts w:ascii="Calibri" w:hAnsi="Calibri" w:cs="Calibri"/>
        </w:rPr>
      </w:pPr>
      <w:r w:rsidRPr="00981447">
        <w:rPr>
          <w:rFonts w:ascii="Calibri" w:hAnsi="Calibri" w:cs="Calibri"/>
          <w:noProof/>
          <w:lang w:eastAsia="fr-FR"/>
        </w:rPr>
        <mc:AlternateContent>
          <mc:Choice Requires="wps">
            <w:drawing>
              <wp:anchor distT="0" distB="0" distL="114300" distR="114300" simplePos="0" relativeHeight="251661312" behindDoc="0" locked="0" layoutInCell="0" allowOverlap="1" wp14:anchorId="0D89AA32" wp14:editId="75530505">
                <wp:simplePos x="0" y="0"/>
                <wp:positionH relativeFrom="margin">
                  <wp:posOffset>2540</wp:posOffset>
                </wp:positionH>
                <wp:positionV relativeFrom="margin">
                  <wp:posOffset>4701540</wp:posOffset>
                </wp:positionV>
                <wp:extent cx="2436495" cy="1131570"/>
                <wp:effectExtent l="19050" t="19050" r="20955" b="11430"/>
                <wp:wrapSquare wrapText="bothSides"/>
                <wp:docPr id="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13157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B770A9" w:rsidRDefault="00B770A9" w:rsidP="00AD5C51">
                            <w:pPr>
                              <w:spacing w:after="0"/>
                              <w:jc w:val="center"/>
                              <w:rPr>
                                <w:i/>
                                <w:iCs/>
                                <w:color w:val="7F7F7F" w:themeColor="text1" w:themeTint="80"/>
                                <w:sz w:val="24"/>
                              </w:rPr>
                            </w:pPr>
                            <w:r>
                              <w:rPr>
                                <w:i/>
                                <w:iCs/>
                                <w:color w:val="7F7F7F" w:themeColor="text1" w:themeTint="80"/>
                                <w:sz w:val="24"/>
                              </w:rPr>
                              <w:t>Pour faire avancer les plaidoyers des autorités locales, l’AIMF encourage et facilite une démarche de dialogue avec l’ensemble des acteurs du changement.</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185" style="position:absolute;left:0;text-align:left;margin-left:.2pt;margin-top:370.2pt;width:191.85pt;height:89.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" o:allowincell="f" adj="1739" fillcolor="#943634" strokecolor="#9bbb59" strokeweight="3pt">
                <v:shadow color="#5d7035" offset="1pt,1pt"/>
                <v:textbox inset="3.6pt,,3.6pt">
                  <w:txbxContent>
                    <w:p w:rsidR="00B770A9" w:rsidRDefault="00B770A9" w:rsidP="00AD5C51">
                      <w:pPr>
                        <w:spacing w:after="0"/>
                        <w:jc w:val="center"/>
                        <w:rPr>
                          <w:i/>
                          <w:iCs/>
                          <w:color w:val="7F7F7F" w:themeColor="text1" w:themeTint="80"/>
                          <w:sz w:val="24"/>
                        </w:rPr>
                      </w:pPr>
                      <w:r>
                        <w:rPr>
                          <w:i/>
                          <w:iCs/>
                          <w:color w:val="7F7F7F" w:themeColor="text1" w:themeTint="80"/>
                          <w:sz w:val="24"/>
                        </w:rPr>
                        <w:t>Pour faire avancer les plaidoyers des autorités locales, l’AIMF encourage et facilite une démarche de dialogue avec l’ensemble des acteurs du changement.</w:t>
                      </w:r>
                    </w:p>
                  </w:txbxContent>
                </v:textbox>
                <w10:wrap type="square" anchorx="margin" anchory="margin"/>
              </v:shape>
            </w:pict>
          </mc:Fallback>
        </mc:AlternateContent>
      </w:r>
      <w:r w:rsidR="0073152E">
        <w:rPr>
          <w:rFonts w:ascii="Calibri" w:hAnsi="Calibri" w:cs="Calibri"/>
        </w:rPr>
        <w:t>La première phase opérationnelle liée à cet accord permet d’appuyer les maires pour élaborer et porter leurs plaidoyers thématiques, mais aussi pour qu’ils se structurent  en réseaux régionaux afin de porter leurs plaidoyers à cette échelle de plus en plus structurante qu</w:t>
      </w:r>
      <w:r w:rsidR="00AD5C51">
        <w:rPr>
          <w:rFonts w:ascii="Calibri" w:hAnsi="Calibri" w:cs="Calibri"/>
        </w:rPr>
        <w:t xml:space="preserve">’est l’échelle </w:t>
      </w:r>
      <w:proofErr w:type="spellStart"/>
      <w:r w:rsidR="00AD5C51">
        <w:rPr>
          <w:rFonts w:ascii="Calibri" w:hAnsi="Calibri" w:cs="Calibri"/>
        </w:rPr>
        <w:t>sous-régionale</w:t>
      </w:r>
      <w:proofErr w:type="spellEnd"/>
      <w:r w:rsidR="00AD5C51">
        <w:rPr>
          <w:rFonts w:ascii="Calibri" w:hAnsi="Calibri" w:cs="Calibri"/>
        </w:rPr>
        <w:t xml:space="preserve">. </w:t>
      </w:r>
    </w:p>
    <w:p w:rsidR="00B770A9" w:rsidRPr="00B770A9" w:rsidRDefault="00B770A9" w:rsidP="00B770A9">
      <w:pPr>
        <w:spacing w:after="0" w:line="240" w:lineRule="auto"/>
        <w:contextualSpacing/>
        <w:jc w:val="both"/>
        <w:rPr>
          <w:rFonts w:ascii="Calibri" w:hAnsi="Calibri" w:cs="Calibri"/>
          <w:sz w:val="12"/>
          <w:szCs w:val="12"/>
        </w:rPr>
      </w:pPr>
    </w:p>
    <w:p w:rsidR="0073152E" w:rsidRDefault="0073152E" w:rsidP="00B770A9">
      <w:pPr>
        <w:spacing w:after="0" w:line="240" w:lineRule="auto"/>
        <w:contextualSpacing/>
        <w:jc w:val="both"/>
        <w:rPr>
          <w:rFonts w:ascii="Calibri" w:hAnsi="Calibri" w:cs="Calibri"/>
        </w:rPr>
      </w:pPr>
      <w:r>
        <w:rPr>
          <w:rFonts w:ascii="Calibri" w:hAnsi="Calibri" w:cs="Calibri"/>
        </w:rPr>
        <w:t xml:space="preserve">La démarche de l’AIMF consiste à faire travailler ensemble élus locaux, parlementaires, représentants des administrations centrales, universitaires, journalistes et experts. </w:t>
      </w:r>
    </w:p>
    <w:p w:rsidR="0073152E" w:rsidRDefault="0073152E" w:rsidP="00B770A9">
      <w:pPr>
        <w:spacing w:after="0" w:line="240" w:lineRule="auto"/>
        <w:contextualSpacing/>
        <w:jc w:val="both"/>
        <w:rPr>
          <w:rFonts w:ascii="Calibri" w:hAnsi="Calibri"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118"/>
        <w:gridCol w:w="2156"/>
      </w:tblGrid>
      <w:tr w:rsidR="00AD5C51" w:rsidTr="00D166B0">
        <w:tc>
          <w:tcPr>
            <w:tcW w:w="3936" w:type="dxa"/>
          </w:tcPr>
          <w:p w:rsidR="00AD5C51" w:rsidRDefault="00AD5C51" w:rsidP="00474288">
            <w:pPr>
              <w:spacing w:after="0" w:line="276" w:lineRule="auto"/>
              <w:jc w:val="both"/>
              <w:rPr>
                <w:rFonts w:ascii="Calibri" w:hAnsi="Calibri" w:cs="Calibri"/>
                <w:b/>
                <w:color w:val="548DD4" w:themeColor="text2" w:themeTint="99"/>
              </w:rPr>
            </w:pPr>
            <w:r w:rsidRPr="00AD5C51">
              <w:rPr>
                <w:rFonts w:ascii="Calibri" w:hAnsi="Calibri" w:cs="Calibri"/>
                <w:b/>
                <w:color w:val="548DD4" w:themeColor="text2" w:themeTint="99"/>
              </w:rPr>
              <w:t xml:space="preserve">4 groupes de plaidoyer </w:t>
            </w:r>
            <w:r>
              <w:rPr>
                <w:rFonts w:ascii="Calibri" w:hAnsi="Calibri" w:cs="Calibri"/>
                <w:b/>
                <w:color w:val="548DD4" w:themeColor="text2" w:themeTint="99"/>
              </w:rPr>
              <w:t>thématiques</w:t>
            </w:r>
          </w:p>
        </w:tc>
        <w:tc>
          <w:tcPr>
            <w:tcW w:w="5274" w:type="dxa"/>
            <w:gridSpan w:val="2"/>
          </w:tcPr>
          <w:p w:rsidR="003B0953" w:rsidRDefault="00AD5C51" w:rsidP="003D7F08">
            <w:pPr>
              <w:spacing w:after="0" w:line="276" w:lineRule="auto"/>
              <w:jc w:val="both"/>
              <w:rPr>
                <w:rFonts w:ascii="Calibri" w:hAnsi="Calibri" w:cs="Calibri"/>
                <w:b/>
                <w:color w:val="548DD4" w:themeColor="text2" w:themeTint="99"/>
              </w:rPr>
            </w:pPr>
            <w:r>
              <w:rPr>
                <w:rFonts w:ascii="Calibri" w:hAnsi="Calibri" w:cs="Calibri"/>
                <w:b/>
                <w:color w:val="548DD4" w:themeColor="text2" w:themeTint="99"/>
              </w:rPr>
              <w:t xml:space="preserve">Appui </w:t>
            </w:r>
            <w:r w:rsidR="003D7F08">
              <w:rPr>
                <w:rFonts w:ascii="Calibri" w:hAnsi="Calibri" w:cs="Calibri"/>
                <w:b/>
                <w:color w:val="548DD4" w:themeColor="text2" w:themeTint="99"/>
              </w:rPr>
              <w:t xml:space="preserve">aux réseaux </w:t>
            </w:r>
            <w:r w:rsidR="003B0953">
              <w:rPr>
                <w:rFonts w:ascii="Calibri" w:hAnsi="Calibri" w:cs="Calibri"/>
                <w:b/>
                <w:color w:val="548DD4" w:themeColor="text2" w:themeTint="99"/>
              </w:rPr>
              <w:t xml:space="preserve">nationaux et </w:t>
            </w:r>
          </w:p>
          <w:p w:rsidR="00AD5C51" w:rsidRDefault="003D7F08" w:rsidP="003D7F08">
            <w:pPr>
              <w:spacing w:after="0" w:line="276" w:lineRule="auto"/>
              <w:jc w:val="both"/>
              <w:rPr>
                <w:rFonts w:ascii="Calibri" w:hAnsi="Calibri" w:cs="Calibri"/>
                <w:b/>
                <w:color w:val="548DD4" w:themeColor="text2" w:themeTint="99"/>
              </w:rPr>
            </w:pPr>
            <w:r>
              <w:rPr>
                <w:rFonts w:ascii="Calibri" w:hAnsi="Calibri" w:cs="Calibri"/>
                <w:b/>
                <w:color w:val="548DD4" w:themeColor="text2" w:themeTint="99"/>
              </w:rPr>
              <w:t>régionaux d’autorités locales</w:t>
            </w:r>
          </w:p>
          <w:p w:rsidR="00DC531C" w:rsidRDefault="00DC531C" w:rsidP="003D7F08">
            <w:pPr>
              <w:spacing w:after="0" w:line="276" w:lineRule="auto"/>
              <w:jc w:val="both"/>
              <w:rPr>
                <w:rFonts w:ascii="Calibri" w:hAnsi="Calibri" w:cs="Calibri"/>
                <w:b/>
                <w:color w:val="548DD4" w:themeColor="text2" w:themeTint="99"/>
              </w:rPr>
            </w:pPr>
          </w:p>
        </w:tc>
      </w:tr>
      <w:tr w:rsidR="00D166B0" w:rsidTr="00D166B0">
        <w:tc>
          <w:tcPr>
            <w:tcW w:w="3936" w:type="dxa"/>
          </w:tcPr>
          <w:p w:rsidR="00D166B0" w:rsidRPr="00AD5C51" w:rsidRDefault="00D166B0" w:rsidP="00AD5C51">
            <w:pPr>
              <w:pStyle w:val="Paragraphedeliste"/>
              <w:numPr>
                <w:ilvl w:val="0"/>
                <w:numId w:val="9"/>
              </w:numPr>
              <w:spacing w:after="0" w:line="276" w:lineRule="auto"/>
              <w:jc w:val="both"/>
              <w:rPr>
                <w:rFonts w:ascii="Calibri" w:hAnsi="Calibri" w:cs="Calibri"/>
              </w:rPr>
            </w:pPr>
            <w:r w:rsidRPr="00AD5C51">
              <w:rPr>
                <w:rFonts w:ascii="Calibri" w:hAnsi="Calibri" w:cs="Calibri"/>
              </w:rPr>
              <w:t>Finances locales</w:t>
            </w:r>
          </w:p>
          <w:p w:rsidR="00D166B0" w:rsidRPr="00AD5C51" w:rsidRDefault="00D166B0" w:rsidP="00AD5C51">
            <w:pPr>
              <w:pStyle w:val="Paragraphedeliste"/>
              <w:numPr>
                <w:ilvl w:val="0"/>
                <w:numId w:val="9"/>
              </w:numPr>
              <w:spacing w:after="0" w:line="276" w:lineRule="auto"/>
              <w:jc w:val="both"/>
              <w:rPr>
                <w:rFonts w:ascii="Calibri" w:hAnsi="Calibri" w:cs="Calibri"/>
              </w:rPr>
            </w:pPr>
            <w:r w:rsidRPr="00AD5C51">
              <w:rPr>
                <w:rFonts w:ascii="Calibri" w:hAnsi="Calibri" w:cs="Calibri"/>
              </w:rPr>
              <w:t xml:space="preserve">Statut de l’élu local et de la fonction </w:t>
            </w:r>
          </w:p>
          <w:p w:rsidR="00D166B0" w:rsidRPr="00AD5C51" w:rsidRDefault="00D166B0" w:rsidP="00AD5C51">
            <w:pPr>
              <w:pStyle w:val="Paragraphedeliste"/>
              <w:spacing w:after="0" w:line="276" w:lineRule="auto"/>
              <w:ind w:left="360"/>
              <w:jc w:val="both"/>
              <w:rPr>
                <w:rFonts w:ascii="Calibri" w:hAnsi="Calibri" w:cs="Calibri"/>
              </w:rPr>
            </w:pPr>
            <w:r w:rsidRPr="00AD5C51">
              <w:rPr>
                <w:rFonts w:ascii="Calibri" w:hAnsi="Calibri" w:cs="Calibri"/>
              </w:rPr>
              <w:t>publique territoriale</w:t>
            </w:r>
          </w:p>
          <w:p w:rsidR="00D166B0" w:rsidRPr="00AD5C51" w:rsidRDefault="00D166B0" w:rsidP="00AD5C51">
            <w:pPr>
              <w:pStyle w:val="Paragraphedeliste"/>
              <w:numPr>
                <w:ilvl w:val="0"/>
                <w:numId w:val="9"/>
              </w:numPr>
              <w:spacing w:after="0" w:line="276" w:lineRule="auto"/>
              <w:jc w:val="both"/>
              <w:rPr>
                <w:rFonts w:ascii="Calibri" w:hAnsi="Calibri" w:cs="Calibri"/>
              </w:rPr>
            </w:pPr>
            <w:r w:rsidRPr="00AD5C51">
              <w:rPr>
                <w:rFonts w:ascii="Calibri" w:hAnsi="Calibri" w:cs="Calibri"/>
              </w:rPr>
              <w:t>Services essentiels</w:t>
            </w:r>
          </w:p>
          <w:p w:rsidR="00D166B0" w:rsidRPr="00AD5C51" w:rsidRDefault="00D166B0" w:rsidP="00AD5C51">
            <w:pPr>
              <w:pStyle w:val="Paragraphedeliste"/>
              <w:numPr>
                <w:ilvl w:val="0"/>
                <w:numId w:val="9"/>
              </w:numPr>
              <w:spacing w:after="0" w:line="276" w:lineRule="auto"/>
              <w:jc w:val="both"/>
              <w:rPr>
                <w:rFonts w:ascii="Calibri" w:hAnsi="Calibri" w:cs="Calibri"/>
                <w:b/>
              </w:rPr>
            </w:pPr>
            <w:r w:rsidRPr="00AD5C51">
              <w:rPr>
                <w:rFonts w:ascii="Calibri" w:hAnsi="Calibri" w:cs="Calibri"/>
              </w:rPr>
              <w:t>Changements climatique</w:t>
            </w:r>
          </w:p>
        </w:tc>
        <w:tc>
          <w:tcPr>
            <w:tcW w:w="3118" w:type="dxa"/>
          </w:tcPr>
          <w:p w:rsidR="00D166B0" w:rsidRDefault="00D166B0" w:rsidP="00AD5C51">
            <w:pPr>
              <w:pStyle w:val="Paragraphedeliste"/>
              <w:numPr>
                <w:ilvl w:val="0"/>
                <w:numId w:val="9"/>
              </w:numPr>
              <w:spacing w:after="0" w:line="276" w:lineRule="auto"/>
              <w:jc w:val="both"/>
              <w:rPr>
                <w:rFonts w:ascii="Calibri" w:hAnsi="Calibri" w:cs="Calibri"/>
              </w:rPr>
            </w:pPr>
            <w:r>
              <w:rPr>
                <w:rFonts w:ascii="Calibri" w:hAnsi="Calibri" w:cs="Calibri"/>
              </w:rPr>
              <w:t>Association Nationale des Communes du Bénin</w:t>
            </w:r>
          </w:p>
          <w:p w:rsidR="00D166B0" w:rsidRDefault="00D166B0" w:rsidP="00AD5C51">
            <w:pPr>
              <w:pStyle w:val="Paragraphedeliste"/>
              <w:numPr>
                <w:ilvl w:val="0"/>
                <w:numId w:val="9"/>
              </w:numPr>
              <w:spacing w:after="0" w:line="276" w:lineRule="auto"/>
              <w:jc w:val="both"/>
              <w:rPr>
                <w:rFonts w:ascii="Calibri" w:hAnsi="Calibri" w:cs="Calibri"/>
              </w:rPr>
            </w:pPr>
            <w:r>
              <w:rPr>
                <w:rFonts w:ascii="Calibri" w:hAnsi="Calibri" w:cs="Calibri"/>
              </w:rPr>
              <w:t>Association Nationale des Communes de Guinée</w:t>
            </w:r>
          </w:p>
        </w:tc>
        <w:tc>
          <w:tcPr>
            <w:tcW w:w="2156" w:type="dxa"/>
          </w:tcPr>
          <w:p w:rsidR="00D166B0" w:rsidRPr="00AD5C51" w:rsidRDefault="00D166B0" w:rsidP="00D166B0">
            <w:pPr>
              <w:pStyle w:val="Paragraphedeliste"/>
              <w:numPr>
                <w:ilvl w:val="0"/>
                <w:numId w:val="9"/>
              </w:numPr>
              <w:spacing w:after="0" w:line="276" w:lineRule="auto"/>
              <w:jc w:val="both"/>
              <w:rPr>
                <w:rFonts w:ascii="Calibri" w:hAnsi="Calibri" w:cs="Calibri"/>
              </w:rPr>
            </w:pPr>
            <w:r w:rsidRPr="00AD5C51">
              <w:rPr>
                <w:rFonts w:ascii="Calibri" w:hAnsi="Calibri" w:cs="Calibri"/>
              </w:rPr>
              <w:t>Océan indien</w:t>
            </w:r>
          </w:p>
          <w:p w:rsidR="00D166B0" w:rsidRDefault="00D166B0" w:rsidP="00D166B0">
            <w:pPr>
              <w:pStyle w:val="Paragraphedeliste"/>
              <w:numPr>
                <w:ilvl w:val="0"/>
                <w:numId w:val="9"/>
              </w:numPr>
              <w:spacing w:after="0" w:line="276" w:lineRule="auto"/>
              <w:jc w:val="both"/>
              <w:rPr>
                <w:rFonts w:ascii="Calibri" w:hAnsi="Calibri" w:cs="Calibri"/>
              </w:rPr>
            </w:pPr>
            <w:r>
              <w:rPr>
                <w:rFonts w:ascii="Calibri" w:hAnsi="Calibri" w:cs="Calibri"/>
              </w:rPr>
              <w:t>Grands lacs</w:t>
            </w:r>
          </w:p>
          <w:p w:rsidR="00D166B0" w:rsidRDefault="00D166B0" w:rsidP="00D166B0">
            <w:pPr>
              <w:pStyle w:val="Paragraphedeliste"/>
              <w:numPr>
                <w:ilvl w:val="0"/>
                <w:numId w:val="9"/>
              </w:numPr>
              <w:spacing w:after="0" w:line="276" w:lineRule="auto"/>
              <w:jc w:val="both"/>
              <w:rPr>
                <w:rFonts w:ascii="Calibri" w:hAnsi="Calibri" w:cs="Calibri"/>
              </w:rPr>
            </w:pPr>
            <w:r>
              <w:rPr>
                <w:rFonts w:ascii="Calibri" w:hAnsi="Calibri" w:cs="Calibri"/>
              </w:rPr>
              <w:t xml:space="preserve">Afrique centrale </w:t>
            </w:r>
          </w:p>
          <w:p w:rsidR="00D166B0" w:rsidRDefault="00D166B0" w:rsidP="00D166B0">
            <w:pPr>
              <w:pStyle w:val="Paragraphedeliste"/>
              <w:numPr>
                <w:ilvl w:val="0"/>
                <w:numId w:val="9"/>
              </w:numPr>
              <w:spacing w:after="0" w:line="276" w:lineRule="auto"/>
              <w:jc w:val="both"/>
              <w:rPr>
                <w:rFonts w:ascii="Calibri" w:hAnsi="Calibri" w:cs="Calibri"/>
              </w:rPr>
            </w:pPr>
            <w:r>
              <w:rPr>
                <w:rFonts w:ascii="Calibri" w:hAnsi="Calibri" w:cs="Calibri"/>
              </w:rPr>
              <w:t>Asie</w:t>
            </w:r>
          </w:p>
          <w:p w:rsidR="00D166B0" w:rsidRPr="00AD5C51" w:rsidRDefault="00D166B0" w:rsidP="00AD5C51">
            <w:pPr>
              <w:pStyle w:val="Paragraphedeliste"/>
              <w:numPr>
                <w:ilvl w:val="0"/>
                <w:numId w:val="9"/>
              </w:numPr>
              <w:spacing w:after="0" w:line="276" w:lineRule="auto"/>
              <w:jc w:val="both"/>
              <w:rPr>
                <w:rFonts w:ascii="Calibri" w:hAnsi="Calibri" w:cs="Calibri"/>
              </w:rPr>
            </w:pPr>
            <w:r>
              <w:rPr>
                <w:rFonts w:ascii="Calibri" w:hAnsi="Calibri" w:cs="Calibri"/>
              </w:rPr>
              <w:t>Maghreb</w:t>
            </w:r>
          </w:p>
        </w:tc>
      </w:tr>
    </w:tbl>
    <w:p w:rsidR="00AD5C51" w:rsidRDefault="00AD5C51" w:rsidP="00474288">
      <w:pPr>
        <w:spacing w:after="0" w:line="276" w:lineRule="auto"/>
        <w:jc w:val="both"/>
        <w:rPr>
          <w:rFonts w:ascii="Calibri" w:hAnsi="Calibri" w:cs="Calibri"/>
        </w:rPr>
      </w:pPr>
    </w:p>
    <w:tbl>
      <w:tblPr>
        <w:tblStyle w:val="Grilledutableau"/>
        <w:tblpPr w:leftFromText="141" w:rightFromText="141" w:vertAnchor="text" w:horzAnchor="margin" w:tblpY="4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1857"/>
        <w:gridCol w:w="1857"/>
        <w:gridCol w:w="1857"/>
        <w:gridCol w:w="1857"/>
      </w:tblGrid>
      <w:tr w:rsidR="00B770A9" w:rsidTr="00B770A9">
        <w:tc>
          <w:tcPr>
            <w:tcW w:w="5000" w:type="pct"/>
            <w:gridSpan w:val="5"/>
          </w:tcPr>
          <w:p w:rsidR="00B770A9" w:rsidRDefault="00B770A9" w:rsidP="00B770A9">
            <w:pPr>
              <w:spacing w:after="0" w:line="276" w:lineRule="auto"/>
              <w:jc w:val="both"/>
              <w:rPr>
                <w:rFonts w:ascii="Calibri" w:hAnsi="Calibri" w:cs="Calibri"/>
                <w:noProof/>
              </w:rPr>
            </w:pPr>
            <w:r>
              <w:rPr>
                <w:noProof/>
              </w:rPr>
              <w:drawing>
                <wp:inline distT="0" distB="0" distL="0" distR="0" wp14:anchorId="70280AEF" wp14:editId="4B385A73">
                  <wp:extent cx="2229164" cy="341227"/>
                  <wp:effectExtent l="0" t="0" r="0" b="1905"/>
                  <wp:docPr id="11" name="Image 11" descr="Z:\ODD\F_Logo_No UN Emblem-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ODD\F_Logo_No UN Emblem-0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9990" cy="342884"/>
                          </a:xfrm>
                          <a:prstGeom prst="rect">
                            <a:avLst/>
                          </a:prstGeom>
                          <a:noFill/>
                          <a:ln>
                            <a:noFill/>
                          </a:ln>
                        </pic:spPr>
                      </pic:pic>
                    </a:graphicData>
                  </a:graphic>
                </wp:inline>
              </w:drawing>
            </w:r>
          </w:p>
        </w:tc>
      </w:tr>
      <w:tr w:rsidR="00B770A9" w:rsidTr="00B770A9">
        <w:tc>
          <w:tcPr>
            <w:tcW w:w="1000" w:type="pct"/>
          </w:tcPr>
          <w:p w:rsidR="00B770A9" w:rsidRDefault="00B770A9" w:rsidP="00B770A9">
            <w:pPr>
              <w:spacing w:after="0" w:line="276" w:lineRule="auto"/>
              <w:jc w:val="both"/>
              <w:rPr>
                <w:rFonts w:ascii="Calibri" w:hAnsi="Calibri" w:cs="Calibri"/>
              </w:rPr>
            </w:pPr>
            <w:r>
              <w:rPr>
                <w:rFonts w:ascii="Calibri" w:hAnsi="Calibri" w:cs="Calibri"/>
                <w:noProof/>
              </w:rPr>
              <w:drawing>
                <wp:inline distT="0" distB="0" distL="0" distR="0" wp14:anchorId="628FF75B" wp14:editId="48114310">
                  <wp:extent cx="859972" cy="859972"/>
                  <wp:effectExtent l="0" t="0" r="0" b="0"/>
                  <wp:docPr id="3" name="Image 3" descr="Z:\ODD\F_SDG goals_icons-individual-cmyk-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DD\F_SDG goals_icons-individual-cmyk-0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980" cy="859980"/>
                          </a:xfrm>
                          <a:prstGeom prst="rect">
                            <a:avLst/>
                          </a:prstGeom>
                          <a:noFill/>
                          <a:ln>
                            <a:noFill/>
                          </a:ln>
                        </pic:spPr>
                      </pic:pic>
                    </a:graphicData>
                  </a:graphic>
                </wp:inline>
              </w:drawing>
            </w:r>
          </w:p>
        </w:tc>
        <w:tc>
          <w:tcPr>
            <w:tcW w:w="1000" w:type="pct"/>
          </w:tcPr>
          <w:p w:rsidR="00B770A9" w:rsidRDefault="00B770A9" w:rsidP="00B770A9">
            <w:pPr>
              <w:spacing w:after="0" w:line="276" w:lineRule="auto"/>
              <w:jc w:val="both"/>
              <w:rPr>
                <w:rFonts w:ascii="Calibri" w:hAnsi="Calibri" w:cs="Calibri"/>
              </w:rPr>
            </w:pPr>
            <w:r>
              <w:rPr>
                <w:rFonts w:ascii="Calibri" w:hAnsi="Calibri" w:cs="Calibri"/>
                <w:noProof/>
              </w:rPr>
              <w:drawing>
                <wp:inline distT="0" distB="0" distL="0" distR="0" wp14:anchorId="594690F5" wp14:editId="0333E02C">
                  <wp:extent cx="859971" cy="859971"/>
                  <wp:effectExtent l="0" t="0" r="0" b="0"/>
                  <wp:docPr id="4" name="Image 4" descr="Z:\ODD\F_SDG goals_icons-individual-cmyk-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DD\F_SDG goals_icons-individual-cmyk-1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9981" cy="859981"/>
                          </a:xfrm>
                          <a:prstGeom prst="rect">
                            <a:avLst/>
                          </a:prstGeom>
                          <a:noFill/>
                          <a:ln>
                            <a:noFill/>
                          </a:ln>
                        </pic:spPr>
                      </pic:pic>
                    </a:graphicData>
                  </a:graphic>
                </wp:inline>
              </w:drawing>
            </w:r>
          </w:p>
        </w:tc>
        <w:tc>
          <w:tcPr>
            <w:tcW w:w="1000" w:type="pct"/>
          </w:tcPr>
          <w:p w:rsidR="00B770A9" w:rsidRDefault="00B770A9" w:rsidP="00B770A9">
            <w:pPr>
              <w:spacing w:after="0" w:line="276" w:lineRule="auto"/>
              <w:jc w:val="both"/>
              <w:rPr>
                <w:rFonts w:ascii="Calibri" w:hAnsi="Calibri" w:cs="Calibri"/>
              </w:rPr>
            </w:pPr>
            <w:r>
              <w:rPr>
                <w:rFonts w:ascii="Calibri" w:hAnsi="Calibri" w:cs="Calibri"/>
                <w:noProof/>
              </w:rPr>
              <w:drawing>
                <wp:inline distT="0" distB="0" distL="0" distR="0" wp14:anchorId="782BB14D" wp14:editId="3F3DD574">
                  <wp:extent cx="859971" cy="859971"/>
                  <wp:effectExtent l="0" t="0" r="0" b="0"/>
                  <wp:docPr id="5" name="Image 5" descr="Z:\ODD\F_SDG goals_icons-individual-cmyk-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DD\F_SDG goals_icons-individual-cmyk-1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9980" cy="859980"/>
                          </a:xfrm>
                          <a:prstGeom prst="rect">
                            <a:avLst/>
                          </a:prstGeom>
                          <a:noFill/>
                          <a:ln>
                            <a:noFill/>
                          </a:ln>
                        </pic:spPr>
                      </pic:pic>
                    </a:graphicData>
                  </a:graphic>
                </wp:inline>
              </w:drawing>
            </w:r>
          </w:p>
        </w:tc>
        <w:tc>
          <w:tcPr>
            <w:tcW w:w="1000" w:type="pct"/>
          </w:tcPr>
          <w:p w:rsidR="00B770A9" w:rsidRDefault="00B770A9" w:rsidP="00B770A9">
            <w:pPr>
              <w:spacing w:after="0" w:line="276" w:lineRule="auto"/>
              <w:jc w:val="both"/>
              <w:rPr>
                <w:rFonts w:ascii="Calibri" w:hAnsi="Calibri" w:cs="Calibri"/>
              </w:rPr>
            </w:pPr>
            <w:r>
              <w:rPr>
                <w:rFonts w:ascii="Calibri" w:hAnsi="Calibri" w:cs="Calibri"/>
                <w:noProof/>
              </w:rPr>
              <w:drawing>
                <wp:inline distT="0" distB="0" distL="0" distR="0" wp14:anchorId="4232A4EC" wp14:editId="2BEDCD26">
                  <wp:extent cx="859971" cy="859971"/>
                  <wp:effectExtent l="0" t="0" r="0" b="0"/>
                  <wp:docPr id="6" name="Image 6" descr="Z:\ODD\F_SDG goals_icons-individual-cmyk-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ODD\F_SDG goals_icons-individual-cmyk-1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9981" cy="859981"/>
                          </a:xfrm>
                          <a:prstGeom prst="rect">
                            <a:avLst/>
                          </a:prstGeom>
                          <a:noFill/>
                          <a:ln>
                            <a:noFill/>
                          </a:ln>
                        </pic:spPr>
                      </pic:pic>
                    </a:graphicData>
                  </a:graphic>
                </wp:inline>
              </w:drawing>
            </w:r>
          </w:p>
        </w:tc>
        <w:tc>
          <w:tcPr>
            <w:tcW w:w="1000" w:type="pct"/>
          </w:tcPr>
          <w:p w:rsidR="00B770A9" w:rsidRDefault="00B770A9" w:rsidP="00B770A9">
            <w:pPr>
              <w:spacing w:after="0" w:line="276" w:lineRule="auto"/>
              <w:jc w:val="both"/>
              <w:rPr>
                <w:rFonts w:ascii="Calibri" w:hAnsi="Calibri" w:cs="Calibri"/>
              </w:rPr>
            </w:pPr>
            <w:r>
              <w:rPr>
                <w:rFonts w:ascii="Calibri" w:hAnsi="Calibri" w:cs="Calibri"/>
                <w:noProof/>
              </w:rPr>
              <w:drawing>
                <wp:inline distT="0" distB="0" distL="0" distR="0" wp14:anchorId="5CE3F55B" wp14:editId="304899FF">
                  <wp:extent cx="859971" cy="859971"/>
                  <wp:effectExtent l="0" t="0" r="0" b="0"/>
                  <wp:docPr id="7" name="Image 7" descr="Z:\ODD\F_SDG goals_icons-individual-cmyk-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ODD\F_SDG goals_icons-individual-cmyk-1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9980" cy="859980"/>
                          </a:xfrm>
                          <a:prstGeom prst="rect">
                            <a:avLst/>
                          </a:prstGeom>
                          <a:noFill/>
                          <a:ln>
                            <a:noFill/>
                          </a:ln>
                        </pic:spPr>
                      </pic:pic>
                    </a:graphicData>
                  </a:graphic>
                </wp:inline>
              </w:drawing>
            </w:r>
          </w:p>
        </w:tc>
      </w:tr>
    </w:tbl>
    <w:p w:rsidR="00B770A9" w:rsidRDefault="00B770A9" w:rsidP="00B770A9">
      <w:pPr>
        <w:spacing w:after="0" w:line="276" w:lineRule="auto"/>
        <w:jc w:val="both"/>
        <w:rPr>
          <w:rFonts w:ascii="Calibri" w:hAnsi="Calibri" w:cs="Calibri"/>
          <w:b/>
          <w:sz w:val="24"/>
          <w:szCs w:val="24"/>
        </w:rPr>
      </w:pPr>
    </w:p>
    <w:p w:rsidR="00CC513F" w:rsidRDefault="00CC513F" w:rsidP="00474288">
      <w:pPr>
        <w:spacing w:after="0" w:line="276" w:lineRule="auto"/>
        <w:ind w:left="1416" w:hanging="1416"/>
        <w:jc w:val="both"/>
        <w:rPr>
          <w:rFonts w:ascii="Calibri" w:hAnsi="Calibri" w:cs="Calibri"/>
          <w:b/>
          <w:sz w:val="24"/>
          <w:szCs w:val="24"/>
        </w:rPr>
      </w:pPr>
    </w:p>
    <w:p w:rsidR="00CC513F" w:rsidRPr="00B770A9" w:rsidRDefault="00CC513F" w:rsidP="00474288">
      <w:pPr>
        <w:spacing w:after="0" w:line="276" w:lineRule="auto"/>
        <w:ind w:left="1416" w:hanging="1416"/>
        <w:jc w:val="both"/>
        <w:rPr>
          <w:rFonts w:asciiTheme="majorHAnsi" w:hAnsiTheme="majorHAnsi" w:cstheme="majorHAnsi"/>
          <w:b/>
          <w:color w:val="548DD4" w:themeColor="text2" w:themeTint="99"/>
          <w:sz w:val="20"/>
          <w:szCs w:val="20"/>
        </w:rPr>
      </w:pPr>
      <w:r w:rsidRPr="00B770A9">
        <w:rPr>
          <w:rFonts w:asciiTheme="majorHAnsi" w:hAnsiTheme="majorHAnsi" w:cstheme="majorHAnsi"/>
          <w:b/>
          <w:color w:val="548DD4" w:themeColor="text2" w:themeTint="99"/>
          <w:sz w:val="20"/>
          <w:szCs w:val="20"/>
        </w:rPr>
        <w:lastRenderedPageBreak/>
        <w:t xml:space="preserve">A mi-parcours de la mise en œuvre du SGA, les activités sont réalisées sont les suivantes : </w:t>
      </w:r>
    </w:p>
    <w:p w:rsidR="00B770A9" w:rsidRDefault="00CC513F" w:rsidP="00B770A9">
      <w:pPr>
        <w:pStyle w:val="Paragraphedeliste"/>
        <w:numPr>
          <w:ilvl w:val="0"/>
          <w:numId w:val="11"/>
        </w:numPr>
        <w:spacing w:after="0" w:line="240" w:lineRule="auto"/>
        <w:jc w:val="both"/>
        <w:rPr>
          <w:rFonts w:asciiTheme="majorHAnsi" w:hAnsiTheme="majorHAnsi" w:cstheme="majorHAnsi"/>
        </w:rPr>
      </w:pPr>
      <w:r>
        <w:rPr>
          <w:rFonts w:asciiTheme="majorHAnsi" w:hAnsiTheme="majorHAnsi" w:cstheme="majorHAnsi"/>
          <w:b/>
        </w:rPr>
        <w:t>4</w:t>
      </w:r>
      <w:r w:rsidRPr="00CC513F">
        <w:rPr>
          <w:rFonts w:asciiTheme="majorHAnsi" w:hAnsiTheme="majorHAnsi" w:cstheme="majorHAnsi"/>
          <w:b/>
        </w:rPr>
        <w:t xml:space="preserve"> Groupes de plaidoyer consacrés aux Finances locales, au Statut de l’élu et de la Fonction Publique territoriale, aux Services essentiels (Eau, Assainissement, Déchets), au rôle des villes contre les changements climatiques sont en place et opérationnels</w:t>
      </w:r>
      <w:r w:rsidRPr="00CC513F">
        <w:rPr>
          <w:rFonts w:asciiTheme="majorHAnsi" w:hAnsiTheme="majorHAnsi" w:cstheme="majorHAnsi"/>
        </w:rPr>
        <w:t xml:space="preserve"> dans les quatre pays cibles : Burkina Faso, Cameroun, Côte d’Ivoire, Sénégal.</w:t>
      </w:r>
    </w:p>
    <w:p w:rsidR="00B770A9" w:rsidRDefault="00CC513F" w:rsidP="00B770A9">
      <w:pPr>
        <w:pStyle w:val="Paragraphedeliste"/>
        <w:numPr>
          <w:ilvl w:val="0"/>
          <w:numId w:val="11"/>
        </w:numPr>
        <w:spacing w:after="0" w:line="240" w:lineRule="auto"/>
        <w:jc w:val="both"/>
        <w:rPr>
          <w:rFonts w:asciiTheme="majorHAnsi" w:hAnsiTheme="majorHAnsi" w:cstheme="majorHAnsi"/>
        </w:rPr>
      </w:pPr>
      <w:r w:rsidRPr="00B770A9">
        <w:rPr>
          <w:rFonts w:asciiTheme="majorHAnsi" w:hAnsiTheme="majorHAnsi" w:cstheme="majorHAnsi"/>
          <w:b/>
        </w:rPr>
        <w:t>L’Association des Villes et Communes de l’Océan indien a été relancée</w:t>
      </w:r>
      <w:r w:rsidRPr="00B770A9">
        <w:rPr>
          <w:rFonts w:asciiTheme="majorHAnsi" w:hAnsiTheme="majorHAnsi" w:cstheme="majorHAnsi"/>
        </w:rPr>
        <w:t xml:space="preserve"> par l’Assemblée générale extraordinaire d’Antananarivo les 5 et 6 décembre 2016 : statuts adoptés, mise à disposition de locaux par la Mairie de Saint-Denis, élection d’un nouveau Bureau et adoption d’un plan d’action.</w:t>
      </w:r>
    </w:p>
    <w:p w:rsidR="00B770A9" w:rsidRDefault="00CC513F" w:rsidP="00B770A9">
      <w:pPr>
        <w:pStyle w:val="Paragraphedeliste"/>
        <w:numPr>
          <w:ilvl w:val="0"/>
          <w:numId w:val="11"/>
        </w:numPr>
        <w:spacing w:after="0" w:line="240" w:lineRule="auto"/>
        <w:jc w:val="both"/>
        <w:rPr>
          <w:rFonts w:asciiTheme="majorHAnsi" w:hAnsiTheme="majorHAnsi" w:cstheme="majorHAnsi"/>
        </w:rPr>
      </w:pPr>
      <w:r w:rsidRPr="00B770A9">
        <w:rPr>
          <w:rFonts w:asciiTheme="majorHAnsi" w:hAnsiTheme="majorHAnsi" w:cstheme="majorHAnsi"/>
          <w:b/>
        </w:rPr>
        <w:t>La Plateforme des Autorités locales des Pays des Grands Lacs</w:t>
      </w:r>
      <w:r w:rsidRPr="00B770A9">
        <w:rPr>
          <w:rFonts w:asciiTheme="majorHAnsi" w:hAnsiTheme="majorHAnsi" w:cstheme="majorHAnsi"/>
        </w:rPr>
        <w:t xml:space="preserve"> s’est dotée de statuts, d’un siège et d’un Bureau, et d’un plan d’action axé sur la reconnaissance du rôle des Autorités locales et sur le vivre ensemble.</w:t>
      </w:r>
    </w:p>
    <w:p w:rsidR="00B770A9" w:rsidRDefault="00CC513F" w:rsidP="00B770A9">
      <w:pPr>
        <w:pStyle w:val="Paragraphedeliste"/>
        <w:numPr>
          <w:ilvl w:val="0"/>
          <w:numId w:val="11"/>
        </w:numPr>
        <w:spacing w:after="0" w:line="240" w:lineRule="auto"/>
        <w:jc w:val="both"/>
        <w:rPr>
          <w:rFonts w:asciiTheme="majorHAnsi" w:hAnsiTheme="majorHAnsi" w:cstheme="majorHAnsi"/>
        </w:rPr>
      </w:pPr>
      <w:r w:rsidRPr="00B770A9">
        <w:rPr>
          <w:rFonts w:asciiTheme="majorHAnsi" w:hAnsiTheme="majorHAnsi" w:cstheme="majorHAnsi"/>
          <w:b/>
        </w:rPr>
        <w:t>L’Association des Maires d’Afrique centrale est relancée</w:t>
      </w:r>
      <w:r w:rsidRPr="00B770A9">
        <w:rPr>
          <w:rFonts w:asciiTheme="majorHAnsi" w:hAnsiTheme="majorHAnsi" w:cstheme="majorHAnsi"/>
        </w:rPr>
        <w:t>. A l’occasion du 85</w:t>
      </w:r>
      <w:r w:rsidRPr="00B770A9">
        <w:rPr>
          <w:rFonts w:asciiTheme="majorHAnsi" w:hAnsiTheme="majorHAnsi" w:cstheme="majorHAnsi"/>
          <w:vertAlign w:val="superscript"/>
        </w:rPr>
        <w:t>e</w:t>
      </w:r>
      <w:r w:rsidRPr="00B770A9">
        <w:rPr>
          <w:rFonts w:asciiTheme="majorHAnsi" w:hAnsiTheme="majorHAnsi" w:cstheme="majorHAnsi"/>
        </w:rPr>
        <w:t xml:space="preserve"> Bureau de l’AIMF qui s’est tenu à Brazzaville du 24 au 26 mars 2017, les maires ont élu un Bureau et défini la feuille de route pour l’enregistrement légal du réseau au Cameroun. Le Président de la Commission de la CEMAC a reconnu officiellement ce réseau comme un interlocuteur clé de la CEMAC, notamment dans le cadre de la préparation et la mise en œuvre du Schéma directeur d’aménagement de la CEMAC.</w:t>
      </w:r>
    </w:p>
    <w:p w:rsidR="00DC531C" w:rsidRPr="00B770A9" w:rsidRDefault="00CC513F" w:rsidP="00B770A9">
      <w:pPr>
        <w:pStyle w:val="Paragraphedeliste"/>
        <w:numPr>
          <w:ilvl w:val="0"/>
          <w:numId w:val="11"/>
        </w:numPr>
        <w:spacing w:after="0" w:line="240" w:lineRule="auto"/>
        <w:jc w:val="both"/>
        <w:rPr>
          <w:rFonts w:asciiTheme="majorHAnsi" w:hAnsiTheme="majorHAnsi" w:cstheme="majorHAnsi"/>
        </w:rPr>
      </w:pPr>
      <w:r w:rsidRPr="00B770A9">
        <w:rPr>
          <w:rFonts w:asciiTheme="majorHAnsi" w:hAnsiTheme="majorHAnsi" w:cstheme="majorHAnsi"/>
          <w:b/>
        </w:rPr>
        <w:t>Dans la continuité du Partenariat stratégique</w:t>
      </w:r>
      <w:r w:rsidRPr="00B770A9">
        <w:rPr>
          <w:rFonts w:asciiTheme="majorHAnsi" w:hAnsiTheme="majorHAnsi" w:cstheme="majorHAnsi"/>
        </w:rPr>
        <w:t>, l’AIMF et l’Union européenne, à travers les Délégations de l’UE en Guinée et au Bénin, ont lancé, le 1</w:t>
      </w:r>
      <w:r w:rsidRPr="00B770A9">
        <w:rPr>
          <w:rFonts w:asciiTheme="majorHAnsi" w:hAnsiTheme="majorHAnsi" w:cstheme="majorHAnsi"/>
          <w:vertAlign w:val="superscript"/>
        </w:rPr>
        <w:t>er</w:t>
      </w:r>
      <w:r w:rsidRPr="00B770A9">
        <w:rPr>
          <w:rFonts w:asciiTheme="majorHAnsi" w:hAnsiTheme="majorHAnsi" w:cstheme="majorHAnsi"/>
        </w:rPr>
        <w:t xml:space="preserve"> janvier 2017, un projet d’appui à l’Association Nationale des Communes de Guinée et à l’Association Nationale des Communes du Bénin. </w:t>
      </w:r>
    </w:p>
    <w:p w:rsidR="00B770A9" w:rsidRDefault="00B770A9" w:rsidP="00082207">
      <w:pPr>
        <w:spacing w:after="0" w:line="240" w:lineRule="auto"/>
        <w:jc w:val="both"/>
        <w:rPr>
          <w:rFonts w:asciiTheme="majorHAnsi" w:hAnsiTheme="majorHAnsi" w:cstheme="majorHAnsi"/>
          <w:sz w:val="20"/>
          <w:szCs w:val="20"/>
        </w:rPr>
      </w:pPr>
    </w:p>
    <w:p w:rsidR="00082207" w:rsidRPr="00B770A9" w:rsidRDefault="00082207" w:rsidP="00082207">
      <w:pPr>
        <w:spacing w:after="0" w:line="240" w:lineRule="auto"/>
        <w:jc w:val="both"/>
        <w:rPr>
          <w:rFonts w:asciiTheme="majorHAnsi" w:hAnsiTheme="majorHAnsi" w:cstheme="majorHAnsi"/>
          <w:b/>
          <w:color w:val="548DD4" w:themeColor="text2" w:themeTint="99"/>
          <w:sz w:val="20"/>
          <w:szCs w:val="20"/>
        </w:rPr>
      </w:pPr>
      <w:r w:rsidRPr="00B770A9">
        <w:rPr>
          <w:rFonts w:asciiTheme="majorHAnsi" w:hAnsiTheme="majorHAnsi" w:cstheme="majorHAnsi"/>
          <w:b/>
          <w:color w:val="548DD4" w:themeColor="text2" w:themeTint="99"/>
          <w:sz w:val="20"/>
          <w:szCs w:val="20"/>
        </w:rPr>
        <w:t xml:space="preserve">A travers l’appui au </w:t>
      </w:r>
      <w:r w:rsidR="002D1ECD" w:rsidRPr="00B770A9">
        <w:rPr>
          <w:rFonts w:asciiTheme="majorHAnsi" w:hAnsiTheme="majorHAnsi" w:cstheme="majorHAnsi"/>
          <w:b/>
          <w:color w:val="548DD4" w:themeColor="text2" w:themeTint="99"/>
          <w:sz w:val="20"/>
          <w:szCs w:val="20"/>
        </w:rPr>
        <w:t xml:space="preserve">plaidoyer des autorités locales, </w:t>
      </w:r>
      <w:r w:rsidRPr="00B770A9">
        <w:rPr>
          <w:rFonts w:asciiTheme="majorHAnsi" w:hAnsiTheme="majorHAnsi" w:cstheme="majorHAnsi"/>
          <w:b/>
          <w:color w:val="548DD4" w:themeColor="text2" w:themeTint="99"/>
          <w:sz w:val="20"/>
          <w:szCs w:val="20"/>
        </w:rPr>
        <w:t>le Partenariat stratégique AIMF-UE a constitué un catalyseur majeur pour la prise en compte politique des problématiques et des positions des maires :</w:t>
      </w:r>
    </w:p>
    <w:p w:rsidR="00082207" w:rsidRDefault="00B770A9" w:rsidP="00082207">
      <w:pPr>
        <w:pStyle w:val="Paragraphedeliste"/>
        <w:numPr>
          <w:ilvl w:val="0"/>
          <w:numId w:val="10"/>
        </w:numPr>
        <w:spacing w:after="0" w:line="240" w:lineRule="auto"/>
        <w:jc w:val="both"/>
        <w:rPr>
          <w:rFonts w:asciiTheme="majorHAnsi" w:hAnsiTheme="majorHAnsi" w:cstheme="majorHAnsi"/>
        </w:rPr>
      </w:pPr>
      <w:r>
        <w:rPr>
          <w:rFonts w:asciiTheme="majorHAnsi" w:hAnsiTheme="majorHAnsi" w:cstheme="majorHAnsi"/>
        </w:rPr>
        <w:t xml:space="preserve">Le plaidoyer mené sur le </w:t>
      </w:r>
      <w:r w:rsidR="00082207" w:rsidRPr="00E332A5">
        <w:rPr>
          <w:rFonts w:asciiTheme="majorHAnsi" w:hAnsiTheme="majorHAnsi" w:cstheme="majorHAnsi"/>
        </w:rPr>
        <w:t xml:space="preserve">rôle des villes dans la lutte contre les changements climatiques a abouti à </w:t>
      </w:r>
      <w:r w:rsidR="00082207" w:rsidRPr="008C4C1B">
        <w:rPr>
          <w:rFonts w:asciiTheme="majorHAnsi" w:hAnsiTheme="majorHAnsi" w:cstheme="majorHAnsi"/>
          <w:b/>
        </w:rPr>
        <w:t xml:space="preserve">l’engagement du Président du Sénégal pour être le porte-parole des positions des autorités locales </w:t>
      </w:r>
      <w:r w:rsidR="00082207" w:rsidRPr="00E332A5">
        <w:rPr>
          <w:rFonts w:asciiTheme="majorHAnsi" w:hAnsiTheme="majorHAnsi" w:cstheme="majorHAnsi"/>
        </w:rPr>
        <w:t>dans les négociations, rôle qu’il a effectivement tenu en plénière des travaux et pend</w:t>
      </w:r>
      <w:r>
        <w:rPr>
          <w:rFonts w:asciiTheme="majorHAnsi" w:hAnsiTheme="majorHAnsi" w:cstheme="majorHAnsi"/>
        </w:rPr>
        <w:t>ant les commissions de travail.</w:t>
      </w:r>
    </w:p>
    <w:p w:rsidR="00B770A9" w:rsidRDefault="00082207" w:rsidP="00082207">
      <w:pPr>
        <w:pStyle w:val="Paragraphedeliste"/>
        <w:numPr>
          <w:ilvl w:val="0"/>
          <w:numId w:val="10"/>
        </w:numPr>
        <w:spacing w:after="0" w:line="240" w:lineRule="auto"/>
        <w:jc w:val="both"/>
        <w:rPr>
          <w:rFonts w:asciiTheme="majorHAnsi" w:hAnsiTheme="majorHAnsi" w:cstheme="majorHAnsi"/>
        </w:rPr>
      </w:pPr>
      <w:r w:rsidRPr="00B770A9">
        <w:rPr>
          <w:rFonts w:asciiTheme="majorHAnsi" w:hAnsiTheme="majorHAnsi" w:cstheme="majorHAnsi"/>
        </w:rPr>
        <w:t xml:space="preserve">L’AIMF a obtenu un </w:t>
      </w:r>
      <w:r w:rsidRPr="00B770A9">
        <w:rPr>
          <w:rFonts w:asciiTheme="majorHAnsi" w:hAnsiTheme="majorHAnsi" w:cstheme="majorHAnsi"/>
          <w:b/>
        </w:rPr>
        <w:t>statut consultatif auprès de la Convention Cadre des Nations Unies sur les Changements Climatique (CCNUCC)</w:t>
      </w:r>
      <w:r w:rsidR="00B770A9" w:rsidRPr="00B770A9">
        <w:rPr>
          <w:rFonts w:asciiTheme="majorHAnsi" w:hAnsiTheme="majorHAnsi" w:cstheme="majorHAnsi"/>
          <w:b/>
        </w:rPr>
        <w:t xml:space="preserve">. </w:t>
      </w:r>
      <w:r w:rsidRPr="00B770A9">
        <w:rPr>
          <w:rFonts w:asciiTheme="majorHAnsi" w:hAnsiTheme="majorHAnsi" w:cstheme="majorHAnsi"/>
        </w:rPr>
        <w:t xml:space="preserve"> </w:t>
      </w:r>
    </w:p>
    <w:p w:rsidR="00082207" w:rsidRPr="00B770A9" w:rsidRDefault="00082207" w:rsidP="00082207">
      <w:pPr>
        <w:pStyle w:val="Paragraphedeliste"/>
        <w:numPr>
          <w:ilvl w:val="0"/>
          <w:numId w:val="10"/>
        </w:numPr>
        <w:spacing w:after="0" w:line="240" w:lineRule="auto"/>
        <w:jc w:val="both"/>
        <w:rPr>
          <w:rFonts w:asciiTheme="majorHAnsi" w:hAnsiTheme="majorHAnsi" w:cstheme="majorHAnsi"/>
        </w:rPr>
      </w:pPr>
      <w:r w:rsidRPr="00B770A9">
        <w:rPr>
          <w:rFonts w:asciiTheme="majorHAnsi" w:hAnsiTheme="majorHAnsi" w:cstheme="majorHAnsi"/>
        </w:rPr>
        <w:t xml:space="preserve">L’AIMF et l’Etat de Madagascar, hôte </w:t>
      </w:r>
      <w:r w:rsidRPr="00B770A9">
        <w:rPr>
          <w:rFonts w:asciiTheme="majorHAnsi" w:hAnsiTheme="majorHAnsi" w:cstheme="majorHAnsi"/>
          <w:b/>
        </w:rPr>
        <w:t>Sommet des Chefs d’Etat francophones des 26 et 27 novembre</w:t>
      </w:r>
      <w:r w:rsidRPr="00B770A9">
        <w:rPr>
          <w:rFonts w:asciiTheme="majorHAnsi" w:hAnsiTheme="majorHAnsi" w:cstheme="majorHAnsi"/>
        </w:rPr>
        <w:t xml:space="preserve"> 2016, ont déposé une proposition de </w:t>
      </w:r>
      <w:r w:rsidRPr="00B770A9">
        <w:rPr>
          <w:rFonts w:asciiTheme="majorHAnsi" w:hAnsiTheme="majorHAnsi" w:cstheme="majorHAnsi"/>
          <w:b/>
        </w:rPr>
        <w:t>résolution sur la nécessité de libérer le potentiel de développement des AL</w:t>
      </w:r>
      <w:r w:rsidRPr="00B770A9">
        <w:rPr>
          <w:rFonts w:asciiTheme="majorHAnsi" w:hAnsiTheme="majorHAnsi" w:cstheme="majorHAnsi"/>
        </w:rPr>
        <w:t xml:space="preserve">, conjointement avec le Sénégal (hôte du précédent Sommet), résolution qui a été adoptée par le Sommet des Chefs d’Etat. C’est la première fois que le Sommet des Chefs d’Etat francophones prend une telle résolution. </w:t>
      </w:r>
    </w:p>
    <w:p w:rsidR="002D1ECD" w:rsidRPr="002D1ECD" w:rsidRDefault="002D1ECD" w:rsidP="00AD582B">
      <w:pPr>
        <w:jc w:val="both"/>
        <w:rPr>
          <w:rFonts w:asciiTheme="majorHAnsi" w:hAnsiTheme="majorHAnsi" w:cstheme="majorHAnsi"/>
          <w:sz w:val="12"/>
          <w:szCs w:val="12"/>
        </w:rPr>
      </w:pPr>
    </w:p>
    <w:p w:rsidR="00082207" w:rsidRPr="00B770A9" w:rsidRDefault="00082207" w:rsidP="00AD582B">
      <w:pPr>
        <w:spacing w:after="0"/>
        <w:jc w:val="both"/>
        <w:rPr>
          <w:rFonts w:asciiTheme="majorHAnsi" w:hAnsiTheme="majorHAnsi" w:cstheme="majorHAnsi"/>
          <w:b/>
          <w:color w:val="548DD4" w:themeColor="text2" w:themeTint="99"/>
          <w:sz w:val="20"/>
          <w:szCs w:val="20"/>
        </w:rPr>
      </w:pPr>
      <w:r w:rsidRPr="00B770A9">
        <w:rPr>
          <w:rFonts w:asciiTheme="majorHAnsi" w:hAnsiTheme="majorHAnsi" w:cstheme="majorHAnsi"/>
          <w:b/>
          <w:color w:val="548DD4" w:themeColor="text2" w:themeTint="99"/>
          <w:sz w:val="20"/>
          <w:szCs w:val="20"/>
        </w:rPr>
        <w:t xml:space="preserve">Le Partenariat a soutenu des dynamiques nationales et </w:t>
      </w:r>
      <w:proofErr w:type="spellStart"/>
      <w:r w:rsidRPr="00B770A9">
        <w:rPr>
          <w:rFonts w:asciiTheme="majorHAnsi" w:hAnsiTheme="majorHAnsi" w:cstheme="majorHAnsi"/>
          <w:b/>
          <w:color w:val="548DD4" w:themeColor="text2" w:themeTint="99"/>
          <w:sz w:val="20"/>
          <w:szCs w:val="20"/>
        </w:rPr>
        <w:t>sous-régionales</w:t>
      </w:r>
      <w:proofErr w:type="spellEnd"/>
      <w:r w:rsidRPr="00B770A9">
        <w:rPr>
          <w:rFonts w:asciiTheme="majorHAnsi" w:hAnsiTheme="majorHAnsi" w:cstheme="majorHAnsi"/>
          <w:b/>
          <w:color w:val="548DD4" w:themeColor="text2" w:themeTint="99"/>
          <w:sz w:val="20"/>
          <w:szCs w:val="20"/>
        </w:rPr>
        <w:t xml:space="preserve"> et les acteurs locaux, contribuant ainsi aux résultats suivants :</w:t>
      </w:r>
    </w:p>
    <w:p w:rsidR="00082207" w:rsidRDefault="00082207" w:rsidP="00082207">
      <w:pPr>
        <w:pStyle w:val="Paragraphedeliste"/>
        <w:numPr>
          <w:ilvl w:val="0"/>
          <w:numId w:val="10"/>
        </w:numPr>
        <w:spacing w:after="0" w:line="240" w:lineRule="auto"/>
        <w:jc w:val="both"/>
        <w:rPr>
          <w:rFonts w:asciiTheme="majorHAnsi" w:hAnsiTheme="majorHAnsi" w:cstheme="majorHAnsi"/>
        </w:rPr>
      </w:pPr>
      <w:r w:rsidRPr="00E332A5">
        <w:rPr>
          <w:rFonts w:asciiTheme="majorHAnsi" w:hAnsiTheme="majorHAnsi" w:cstheme="majorHAnsi"/>
        </w:rPr>
        <w:t xml:space="preserve">Le </w:t>
      </w:r>
      <w:r w:rsidRPr="002D1ECD">
        <w:rPr>
          <w:rFonts w:asciiTheme="majorHAnsi" w:hAnsiTheme="majorHAnsi" w:cstheme="majorHAnsi"/>
          <w:b/>
        </w:rPr>
        <w:t>Cameroun</w:t>
      </w:r>
      <w:r w:rsidRPr="00E332A5">
        <w:rPr>
          <w:rFonts w:asciiTheme="majorHAnsi" w:hAnsiTheme="majorHAnsi" w:cstheme="majorHAnsi"/>
        </w:rPr>
        <w:t xml:space="preserve"> a adopté une loi, en septembre 2015, portant statut de l’élu local. La mise en œuvre de la loi et les décrets d’application posent cependant toujours des difficultés qui sont discutées dans le cadre du groupe de plaidoyer de l’AIMF</w:t>
      </w:r>
      <w:r>
        <w:rPr>
          <w:rFonts w:asciiTheme="majorHAnsi" w:hAnsiTheme="majorHAnsi" w:cstheme="majorHAnsi"/>
        </w:rPr>
        <w:t> ;</w:t>
      </w:r>
    </w:p>
    <w:p w:rsidR="00082207" w:rsidRPr="002D1ECD" w:rsidRDefault="00082207" w:rsidP="00082207">
      <w:pPr>
        <w:pStyle w:val="Paragraphedeliste"/>
        <w:rPr>
          <w:rFonts w:asciiTheme="majorHAnsi" w:hAnsiTheme="majorHAnsi" w:cstheme="majorHAnsi"/>
          <w:sz w:val="10"/>
          <w:szCs w:val="10"/>
        </w:rPr>
      </w:pPr>
    </w:p>
    <w:p w:rsidR="00082207" w:rsidRDefault="00082207" w:rsidP="00082207">
      <w:pPr>
        <w:pStyle w:val="Paragraphedeliste"/>
        <w:numPr>
          <w:ilvl w:val="0"/>
          <w:numId w:val="10"/>
        </w:numPr>
        <w:spacing w:after="0" w:line="240" w:lineRule="auto"/>
        <w:jc w:val="both"/>
        <w:rPr>
          <w:rFonts w:asciiTheme="majorHAnsi" w:hAnsiTheme="majorHAnsi" w:cstheme="majorHAnsi"/>
        </w:rPr>
      </w:pPr>
      <w:r w:rsidRPr="00E332A5">
        <w:rPr>
          <w:rFonts w:asciiTheme="majorHAnsi" w:hAnsiTheme="majorHAnsi" w:cstheme="majorHAnsi"/>
        </w:rPr>
        <w:t xml:space="preserve">L’Assemblée nationale du </w:t>
      </w:r>
      <w:r w:rsidRPr="002D1ECD">
        <w:rPr>
          <w:rFonts w:asciiTheme="majorHAnsi" w:hAnsiTheme="majorHAnsi" w:cstheme="majorHAnsi"/>
          <w:b/>
        </w:rPr>
        <w:t xml:space="preserve">Burkina Faso </w:t>
      </w:r>
      <w:r w:rsidRPr="00E332A5">
        <w:rPr>
          <w:rFonts w:asciiTheme="majorHAnsi" w:hAnsiTheme="majorHAnsi" w:cstheme="majorHAnsi"/>
        </w:rPr>
        <w:t xml:space="preserve">a adopté à l’unanimité, le 13 janvier 2017, les lois portant création d’une Fonction Publique Territoriale et portant régime juridique applicable aux agents et aux emplois de la Fonction Publique Territoriale au Burkina Faso. Ces lois ont tenu compte des recommandations faites lors de la réunion du Groupe de plaidoyer sur la Fonction Publique territoriale qui s’est réuni à Yamoussoukro du 16 </w:t>
      </w:r>
      <w:r>
        <w:rPr>
          <w:rFonts w:asciiTheme="majorHAnsi" w:hAnsiTheme="majorHAnsi" w:cstheme="majorHAnsi"/>
        </w:rPr>
        <w:t>au 18 juin 2016</w:t>
      </w:r>
      <w:r w:rsidR="002D1ECD">
        <w:rPr>
          <w:rFonts w:asciiTheme="majorHAnsi" w:hAnsiTheme="majorHAnsi" w:cstheme="majorHAnsi"/>
        </w:rPr>
        <w:t xml:space="preserve">. </w:t>
      </w:r>
      <w:r w:rsidRPr="00E332A5">
        <w:rPr>
          <w:rFonts w:asciiTheme="majorHAnsi" w:hAnsiTheme="majorHAnsi" w:cstheme="majorHAnsi"/>
        </w:rPr>
        <w:t>Une des conséquences directes de la loi a été le doublement de la masse salariale de la Fonction Publique Territoriale de 3,5 Milliards de FCFA à 7 Mds FCFA.</w:t>
      </w:r>
      <w:r>
        <w:rPr>
          <w:rFonts w:asciiTheme="majorHAnsi" w:hAnsiTheme="majorHAnsi" w:cstheme="majorHAnsi"/>
        </w:rPr>
        <w:t xml:space="preserve"> </w:t>
      </w:r>
    </w:p>
    <w:p w:rsidR="00082207" w:rsidRPr="002D1ECD" w:rsidRDefault="00082207" w:rsidP="00082207">
      <w:pPr>
        <w:pStyle w:val="Paragraphedeliste"/>
        <w:rPr>
          <w:rFonts w:asciiTheme="majorHAnsi" w:hAnsiTheme="majorHAnsi" w:cstheme="majorHAnsi"/>
          <w:sz w:val="10"/>
          <w:szCs w:val="10"/>
        </w:rPr>
      </w:pPr>
    </w:p>
    <w:p w:rsidR="00082207" w:rsidRDefault="00082207" w:rsidP="00082207">
      <w:pPr>
        <w:pStyle w:val="Paragraphedeliste"/>
        <w:numPr>
          <w:ilvl w:val="0"/>
          <w:numId w:val="10"/>
        </w:numPr>
        <w:spacing w:after="0" w:line="240" w:lineRule="auto"/>
        <w:jc w:val="both"/>
        <w:rPr>
          <w:rFonts w:asciiTheme="majorHAnsi" w:hAnsiTheme="majorHAnsi" w:cstheme="majorHAnsi"/>
        </w:rPr>
      </w:pPr>
      <w:r w:rsidRPr="00E332A5">
        <w:rPr>
          <w:rFonts w:asciiTheme="majorHAnsi" w:hAnsiTheme="majorHAnsi" w:cstheme="majorHAnsi"/>
        </w:rPr>
        <w:t xml:space="preserve">La Ministre des Finances du </w:t>
      </w:r>
      <w:r w:rsidRPr="002D1ECD">
        <w:rPr>
          <w:rFonts w:asciiTheme="majorHAnsi" w:hAnsiTheme="majorHAnsi" w:cstheme="majorHAnsi"/>
          <w:b/>
        </w:rPr>
        <w:t>Burkina Faso</w:t>
      </w:r>
      <w:r w:rsidRPr="00E332A5">
        <w:rPr>
          <w:rFonts w:asciiTheme="majorHAnsi" w:hAnsiTheme="majorHAnsi" w:cstheme="majorHAnsi"/>
        </w:rPr>
        <w:t xml:space="preserve"> a signé, le 19 janvier 2017, les arrêtés de transferts financiers pour les Autorités locales d’un montant de 57 Mds FCFA, en augmentation de 282 % par rapport à l’année 2016 (année de sortie de crise), portant la part des budgets des AL à 5,7 % du budget de l’Etat, montant en valeur absolue et en pourcentage inégalé jusqu’alors. Cette évolution fait notamment suite à la réunion du Groupe de plaidoyer sur les Finances locales qui s’est tenu</w:t>
      </w:r>
      <w:r>
        <w:rPr>
          <w:rFonts w:asciiTheme="majorHAnsi" w:hAnsiTheme="majorHAnsi" w:cstheme="majorHAnsi"/>
        </w:rPr>
        <w:t>e</w:t>
      </w:r>
      <w:r w:rsidRPr="00E332A5">
        <w:rPr>
          <w:rFonts w:asciiTheme="majorHAnsi" w:hAnsiTheme="majorHAnsi" w:cstheme="majorHAnsi"/>
        </w:rPr>
        <w:t xml:space="preserve"> à Douala du 10 au 12 mai 2016 et qui a rassemblé les mêmes acteurs à l’origine de cette évolution : Ministères des Finances, de l’Administration du Territoire, Députés, AL et Associations d’AL.</w:t>
      </w:r>
    </w:p>
    <w:p w:rsidR="00082207" w:rsidRPr="002D1ECD" w:rsidRDefault="00082207" w:rsidP="00082207">
      <w:pPr>
        <w:pStyle w:val="Paragraphedeliste"/>
        <w:rPr>
          <w:rFonts w:asciiTheme="majorHAnsi" w:hAnsiTheme="majorHAnsi" w:cstheme="majorHAnsi"/>
          <w:sz w:val="10"/>
          <w:szCs w:val="10"/>
        </w:rPr>
      </w:pPr>
    </w:p>
    <w:p w:rsidR="00082207" w:rsidRPr="00E332A5" w:rsidRDefault="00082207" w:rsidP="00082207">
      <w:pPr>
        <w:pStyle w:val="Paragraphedeliste"/>
        <w:numPr>
          <w:ilvl w:val="0"/>
          <w:numId w:val="10"/>
        </w:numPr>
        <w:spacing w:after="0" w:line="240" w:lineRule="auto"/>
        <w:jc w:val="both"/>
        <w:rPr>
          <w:rFonts w:asciiTheme="majorHAnsi" w:hAnsiTheme="majorHAnsi" w:cstheme="majorHAnsi"/>
        </w:rPr>
      </w:pPr>
      <w:r w:rsidRPr="00E332A5">
        <w:rPr>
          <w:rFonts w:asciiTheme="majorHAnsi" w:hAnsiTheme="majorHAnsi" w:cstheme="majorHAnsi"/>
        </w:rPr>
        <w:t xml:space="preserve">La </w:t>
      </w:r>
      <w:r w:rsidRPr="002D1ECD">
        <w:rPr>
          <w:rFonts w:asciiTheme="majorHAnsi" w:hAnsiTheme="majorHAnsi" w:cstheme="majorHAnsi"/>
          <w:b/>
        </w:rPr>
        <w:t>Plateforme des Autorités locales des Pays des Grands Lacs</w:t>
      </w:r>
      <w:r w:rsidRPr="00E332A5">
        <w:rPr>
          <w:rFonts w:asciiTheme="majorHAnsi" w:hAnsiTheme="majorHAnsi" w:cstheme="majorHAnsi"/>
        </w:rPr>
        <w:t xml:space="preserve"> rassemble les Maires du Burundi, de République démocratique du Congo et du Rwanda, alors que dans le même temps, les relations diplomatiques entre les trois </w:t>
      </w:r>
      <w:r>
        <w:rPr>
          <w:rFonts w:asciiTheme="majorHAnsi" w:hAnsiTheme="majorHAnsi" w:cstheme="majorHAnsi"/>
        </w:rPr>
        <w:t>Etats</w:t>
      </w:r>
      <w:r w:rsidRPr="00E332A5">
        <w:rPr>
          <w:rFonts w:asciiTheme="majorHAnsi" w:hAnsiTheme="majorHAnsi" w:cstheme="majorHAnsi"/>
        </w:rPr>
        <w:t xml:space="preserve"> sont très difficil</w:t>
      </w:r>
      <w:r>
        <w:rPr>
          <w:rFonts w:asciiTheme="majorHAnsi" w:hAnsiTheme="majorHAnsi" w:cstheme="majorHAnsi"/>
        </w:rPr>
        <w:t>es : le Burundi et la RDC accuse</w:t>
      </w:r>
      <w:r w:rsidRPr="00E332A5">
        <w:rPr>
          <w:rFonts w:asciiTheme="majorHAnsi" w:hAnsiTheme="majorHAnsi" w:cstheme="majorHAnsi"/>
        </w:rPr>
        <w:t xml:space="preserve">nt le Rwanda de déstabiliser </w:t>
      </w:r>
      <w:r>
        <w:rPr>
          <w:rFonts w:asciiTheme="majorHAnsi" w:hAnsiTheme="majorHAnsi" w:cstheme="majorHAnsi"/>
        </w:rPr>
        <w:t>leur régime et le Rwanda accuse</w:t>
      </w:r>
      <w:r w:rsidRPr="00E332A5">
        <w:rPr>
          <w:rFonts w:asciiTheme="majorHAnsi" w:hAnsiTheme="majorHAnsi" w:cstheme="majorHAnsi"/>
        </w:rPr>
        <w:t xml:space="preserve"> le</w:t>
      </w:r>
      <w:r>
        <w:rPr>
          <w:rFonts w:asciiTheme="majorHAnsi" w:hAnsiTheme="majorHAnsi" w:cstheme="majorHAnsi"/>
        </w:rPr>
        <w:t xml:space="preserve"> Burundi et la RDC de soutenir l</w:t>
      </w:r>
      <w:r w:rsidRPr="00E332A5">
        <w:rPr>
          <w:rFonts w:asciiTheme="majorHAnsi" w:hAnsiTheme="majorHAnsi" w:cstheme="majorHAnsi"/>
        </w:rPr>
        <w:t xml:space="preserve">es rebellions </w:t>
      </w:r>
      <w:r>
        <w:rPr>
          <w:rFonts w:asciiTheme="majorHAnsi" w:hAnsiTheme="majorHAnsi" w:cstheme="majorHAnsi"/>
        </w:rPr>
        <w:t>d’ex-</w:t>
      </w:r>
      <w:r w:rsidRPr="00E332A5">
        <w:rPr>
          <w:rFonts w:asciiTheme="majorHAnsi" w:hAnsiTheme="majorHAnsi" w:cstheme="majorHAnsi"/>
        </w:rPr>
        <w:t>génocidaires. Dans ce même temps, les Maires</w:t>
      </w:r>
      <w:r>
        <w:rPr>
          <w:rFonts w:asciiTheme="majorHAnsi" w:hAnsiTheme="majorHAnsi" w:cstheme="majorHAnsi"/>
        </w:rPr>
        <w:t xml:space="preserve"> réunis dans cette association</w:t>
      </w:r>
      <w:r w:rsidRPr="00E332A5">
        <w:rPr>
          <w:rFonts w:asciiTheme="majorHAnsi" w:hAnsiTheme="majorHAnsi" w:cstheme="majorHAnsi"/>
        </w:rPr>
        <w:t xml:space="preserve"> coopèrent au quotidien pour résoudre les problèmes frontaliers et renforcer l’intégration économique qui est, malgré ce, en marche. Ils se sont mis d’accord sur la localisation du siège de</w:t>
      </w:r>
      <w:r>
        <w:rPr>
          <w:rFonts w:asciiTheme="majorHAnsi" w:hAnsiTheme="majorHAnsi" w:cstheme="majorHAnsi"/>
        </w:rPr>
        <w:t xml:space="preserve"> la structure à </w:t>
      </w:r>
      <w:proofErr w:type="spellStart"/>
      <w:r>
        <w:rPr>
          <w:rFonts w:asciiTheme="majorHAnsi" w:hAnsiTheme="majorHAnsi" w:cstheme="majorHAnsi"/>
        </w:rPr>
        <w:t>Rusizi</w:t>
      </w:r>
      <w:proofErr w:type="spellEnd"/>
      <w:r>
        <w:rPr>
          <w:rFonts w:asciiTheme="majorHAnsi" w:hAnsiTheme="majorHAnsi" w:cstheme="majorHAnsi"/>
        </w:rPr>
        <w:t xml:space="preserve"> (Rwanda), </w:t>
      </w:r>
      <w:r w:rsidRPr="00E332A5">
        <w:rPr>
          <w:rFonts w:asciiTheme="majorHAnsi" w:hAnsiTheme="majorHAnsi" w:cstheme="majorHAnsi"/>
        </w:rPr>
        <w:t>l’enregistrement des statuts dans ce même pays. Le Président est le Maire de Bukavu (Congo)</w:t>
      </w:r>
      <w:r>
        <w:rPr>
          <w:rFonts w:asciiTheme="majorHAnsi" w:hAnsiTheme="majorHAnsi" w:cstheme="majorHAnsi"/>
        </w:rPr>
        <w:t>. Un plan d’action et des actions conjointes ont été mis en œuvre.</w:t>
      </w:r>
    </w:p>
    <w:p w:rsidR="00082207" w:rsidRDefault="00082207" w:rsidP="00474288">
      <w:pPr>
        <w:spacing w:after="0" w:line="276" w:lineRule="auto"/>
        <w:ind w:left="1416" w:hanging="1416"/>
        <w:jc w:val="both"/>
        <w:rPr>
          <w:rFonts w:ascii="Calibri" w:hAnsi="Calibri" w:cs="Calibri"/>
        </w:rPr>
      </w:pPr>
    </w:p>
    <w:p w:rsidR="00082207" w:rsidRPr="00474288" w:rsidRDefault="00082207" w:rsidP="002D1ECD">
      <w:pPr>
        <w:spacing w:after="0" w:line="276" w:lineRule="auto"/>
        <w:jc w:val="both"/>
        <w:rPr>
          <w:rFonts w:ascii="Calibri" w:hAnsi="Calibri" w:cs="Calibri"/>
        </w:rPr>
      </w:pPr>
    </w:p>
    <w:sectPr w:rsidR="00082207" w:rsidRPr="00474288" w:rsidSect="00B770A9">
      <w:headerReference w:type="first" r:id="rId16"/>
      <w:pgSz w:w="11906" w:h="16838" w:code="9"/>
      <w:pgMar w:top="567" w:right="1418" w:bottom="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A9" w:rsidRDefault="00B770A9" w:rsidP="00F22CD2">
      <w:pPr>
        <w:spacing w:after="0" w:line="240" w:lineRule="auto"/>
      </w:pPr>
      <w:r>
        <w:separator/>
      </w:r>
    </w:p>
  </w:endnote>
  <w:endnote w:type="continuationSeparator" w:id="0">
    <w:p w:rsidR="00B770A9" w:rsidRDefault="00B770A9" w:rsidP="00F2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A9" w:rsidRDefault="00B770A9" w:rsidP="00F22CD2">
      <w:pPr>
        <w:spacing w:after="0" w:line="240" w:lineRule="auto"/>
      </w:pPr>
      <w:r>
        <w:separator/>
      </w:r>
    </w:p>
  </w:footnote>
  <w:footnote w:type="continuationSeparator" w:id="0">
    <w:p w:rsidR="00B770A9" w:rsidRDefault="00B770A9" w:rsidP="00F22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B770A9" w:rsidTr="00474288">
      <w:tc>
        <w:tcPr>
          <w:tcW w:w="4606" w:type="dxa"/>
        </w:tcPr>
        <w:p w:rsidR="00B770A9" w:rsidRDefault="00B770A9" w:rsidP="00474288">
          <w:pPr>
            <w:pStyle w:val="En-tte"/>
          </w:pPr>
        </w:p>
      </w:tc>
    </w:tr>
  </w:tbl>
  <w:p w:rsidR="00B770A9" w:rsidRDefault="00B770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BE5"/>
    <w:multiLevelType w:val="hybridMultilevel"/>
    <w:tmpl w:val="E0C0BC6A"/>
    <w:lvl w:ilvl="0" w:tplc="2E5C0C80">
      <w:start w:val="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555485A"/>
    <w:multiLevelType w:val="hybridMultilevel"/>
    <w:tmpl w:val="A4D63E72"/>
    <w:lvl w:ilvl="0" w:tplc="E56877C0">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C53939"/>
    <w:multiLevelType w:val="hybridMultilevel"/>
    <w:tmpl w:val="97B4513A"/>
    <w:lvl w:ilvl="0" w:tplc="E570AC8A">
      <w:start w:val="1"/>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9130C0"/>
    <w:multiLevelType w:val="hybridMultilevel"/>
    <w:tmpl w:val="22961AAC"/>
    <w:lvl w:ilvl="0" w:tplc="4F34D58E">
      <w:start w:val="2"/>
      <w:numFmt w:val="bullet"/>
      <w:lvlText w:val="-"/>
      <w:lvlJc w:val="left"/>
      <w:pPr>
        <w:ind w:left="360" w:hanging="360"/>
      </w:pPr>
      <w:rPr>
        <w:rFonts w:ascii="Calibri" w:eastAsiaTheme="minorHAns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82D00A1"/>
    <w:multiLevelType w:val="hybridMultilevel"/>
    <w:tmpl w:val="D21AC258"/>
    <w:lvl w:ilvl="0" w:tplc="06D8D362">
      <w:start w:val="13"/>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DF91DF7"/>
    <w:multiLevelType w:val="hybridMultilevel"/>
    <w:tmpl w:val="A6D48178"/>
    <w:lvl w:ilvl="0" w:tplc="DF14AF7C">
      <w:start w:val="1"/>
      <w:numFmt w:val="bullet"/>
      <w:lvlText w:val=""/>
      <w:lvlJc w:val="left"/>
      <w:pPr>
        <w:ind w:left="720" w:hanging="360"/>
      </w:pPr>
      <w:rPr>
        <w:rFonts w:ascii="Wingdings" w:hAnsi="Wingdings" w:hint="default"/>
        <w:spacing w:val="-2"/>
        <w:position w:val="0"/>
        <w14:stylisticSet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5E4296"/>
    <w:multiLevelType w:val="multilevel"/>
    <w:tmpl w:val="91B65A28"/>
    <w:lvl w:ilvl="0">
      <w:start w:val="1"/>
      <w:numFmt w:val="decimal"/>
      <w:lvlText w:val="%1"/>
      <w:lvlJc w:val="left"/>
      <w:pPr>
        <w:ind w:left="450" w:hanging="450"/>
      </w:pPr>
      <w:rPr>
        <w:rFonts w:hint="default"/>
      </w:rPr>
    </w:lvl>
    <w:lvl w:ilvl="1">
      <w:start w:val="1"/>
      <w:numFmt w:val="decimal"/>
      <w:lvlText w:val="%1.%2"/>
      <w:lvlJc w:val="left"/>
      <w:pPr>
        <w:ind w:left="1509" w:hanging="450"/>
      </w:pPr>
      <w:rPr>
        <w:rFonts w:hint="default"/>
      </w:rPr>
    </w:lvl>
    <w:lvl w:ilvl="2">
      <w:start w:val="1"/>
      <w:numFmt w:val="decimal"/>
      <w:lvlText w:val="%1.%2.%3"/>
      <w:lvlJc w:val="left"/>
      <w:pPr>
        <w:ind w:left="2838" w:hanging="720"/>
      </w:pPr>
      <w:rPr>
        <w:rFonts w:hint="default"/>
      </w:rPr>
    </w:lvl>
    <w:lvl w:ilvl="3">
      <w:start w:val="1"/>
      <w:numFmt w:val="decimal"/>
      <w:lvlText w:val="%1.%2.%3.%4"/>
      <w:lvlJc w:val="left"/>
      <w:pPr>
        <w:ind w:left="3897" w:hanging="720"/>
      </w:pPr>
      <w:rPr>
        <w:rFonts w:hint="default"/>
      </w:rPr>
    </w:lvl>
    <w:lvl w:ilvl="4">
      <w:start w:val="1"/>
      <w:numFmt w:val="decimal"/>
      <w:lvlText w:val="%1.%2.%3.%4.%5"/>
      <w:lvlJc w:val="left"/>
      <w:pPr>
        <w:ind w:left="4956" w:hanging="720"/>
      </w:pPr>
      <w:rPr>
        <w:rFonts w:hint="default"/>
      </w:rPr>
    </w:lvl>
    <w:lvl w:ilvl="5">
      <w:start w:val="1"/>
      <w:numFmt w:val="decimal"/>
      <w:lvlText w:val="%1.%2.%3.%4.%5.%6"/>
      <w:lvlJc w:val="left"/>
      <w:pPr>
        <w:ind w:left="6375" w:hanging="1080"/>
      </w:pPr>
      <w:rPr>
        <w:rFonts w:hint="default"/>
      </w:rPr>
    </w:lvl>
    <w:lvl w:ilvl="6">
      <w:start w:val="1"/>
      <w:numFmt w:val="decimal"/>
      <w:lvlText w:val="%1.%2.%3.%4.%5.%6.%7"/>
      <w:lvlJc w:val="left"/>
      <w:pPr>
        <w:ind w:left="7434" w:hanging="1080"/>
      </w:pPr>
      <w:rPr>
        <w:rFonts w:hint="default"/>
      </w:rPr>
    </w:lvl>
    <w:lvl w:ilvl="7">
      <w:start w:val="1"/>
      <w:numFmt w:val="decimal"/>
      <w:lvlText w:val="%1.%2.%3.%4.%5.%6.%7.%8"/>
      <w:lvlJc w:val="left"/>
      <w:pPr>
        <w:ind w:left="8853" w:hanging="1440"/>
      </w:pPr>
      <w:rPr>
        <w:rFonts w:hint="default"/>
      </w:rPr>
    </w:lvl>
    <w:lvl w:ilvl="8">
      <w:start w:val="1"/>
      <w:numFmt w:val="decimal"/>
      <w:lvlText w:val="%1.%2.%3.%4.%5.%6.%7.%8.%9"/>
      <w:lvlJc w:val="left"/>
      <w:pPr>
        <w:ind w:left="9912" w:hanging="1440"/>
      </w:pPr>
      <w:rPr>
        <w:rFonts w:hint="default"/>
      </w:rPr>
    </w:lvl>
  </w:abstractNum>
  <w:abstractNum w:abstractNumId="7">
    <w:nsid w:val="55155CCF"/>
    <w:multiLevelType w:val="hybridMultilevel"/>
    <w:tmpl w:val="37169D9E"/>
    <w:lvl w:ilvl="0" w:tplc="DF14AF7C">
      <w:start w:val="1"/>
      <w:numFmt w:val="bullet"/>
      <w:lvlText w:val=""/>
      <w:lvlJc w:val="left"/>
      <w:pPr>
        <w:ind w:left="360" w:hanging="360"/>
      </w:pPr>
      <w:rPr>
        <w:rFonts w:ascii="Wingdings" w:hAnsi="Wingdings" w:hint="default"/>
        <w:spacing w:val="-2"/>
        <w:position w:val="0"/>
        <w14:stylisticSet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F103097"/>
    <w:multiLevelType w:val="hybridMultilevel"/>
    <w:tmpl w:val="C9020788"/>
    <w:lvl w:ilvl="0" w:tplc="FFFFFFFF">
      <w:start w:val="1"/>
      <w:numFmt w:val="bullet"/>
      <w:lvlText w:val="o"/>
      <w:lvlJc w:val="left"/>
      <w:pPr>
        <w:tabs>
          <w:tab w:val="num" w:pos="720"/>
        </w:tabs>
        <w:ind w:left="720" w:hanging="360"/>
      </w:pPr>
      <w:rPr>
        <w:rFonts w:ascii="Courier New" w:hAnsi="Courier New"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C246E2A"/>
    <w:multiLevelType w:val="hybridMultilevel"/>
    <w:tmpl w:val="FD60FEB0"/>
    <w:lvl w:ilvl="0" w:tplc="B1860A4A">
      <w:start w:val="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5855F9"/>
    <w:multiLevelType w:val="hybridMultilevel"/>
    <w:tmpl w:val="DC9E52E8"/>
    <w:lvl w:ilvl="0" w:tplc="DF14AF7C">
      <w:start w:val="1"/>
      <w:numFmt w:val="bullet"/>
      <w:lvlText w:val=""/>
      <w:lvlJc w:val="left"/>
      <w:pPr>
        <w:ind w:left="720" w:hanging="360"/>
      </w:pPr>
      <w:rPr>
        <w:rFonts w:ascii="Wingdings" w:hAnsi="Wingdings" w:hint="default"/>
        <w:spacing w:val="-2"/>
        <w:position w:val="0"/>
        <w14:stylisticSet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6"/>
  </w:num>
  <w:num w:numId="6">
    <w:abstractNumId w:val="2"/>
  </w:num>
  <w:num w:numId="7">
    <w:abstractNumId w:val="10"/>
  </w:num>
  <w:num w:numId="8">
    <w:abstractNumId w:val="5"/>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36"/>
    <w:rsid w:val="00082207"/>
    <w:rsid w:val="00127873"/>
    <w:rsid w:val="002D1ECD"/>
    <w:rsid w:val="003B0953"/>
    <w:rsid w:val="003B2465"/>
    <w:rsid w:val="003D7F08"/>
    <w:rsid w:val="00451286"/>
    <w:rsid w:val="00474288"/>
    <w:rsid w:val="004A1DFF"/>
    <w:rsid w:val="00567153"/>
    <w:rsid w:val="006A100F"/>
    <w:rsid w:val="0073152E"/>
    <w:rsid w:val="00981447"/>
    <w:rsid w:val="00A34C5C"/>
    <w:rsid w:val="00AD582B"/>
    <w:rsid w:val="00AD5C51"/>
    <w:rsid w:val="00B770A9"/>
    <w:rsid w:val="00C13B88"/>
    <w:rsid w:val="00CC513F"/>
    <w:rsid w:val="00D166B0"/>
    <w:rsid w:val="00D541B6"/>
    <w:rsid w:val="00D71EA3"/>
    <w:rsid w:val="00DC0582"/>
    <w:rsid w:val="00DC531C"/>
    <w:rsid w:val="00DE6B53"/>
    <w:rsid w:val="00F22CD2"/>
    <w:rsid w:val="00F36D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36"/>
    <w:pPr>
      <w:spacing w:after="160" w:line="259" w:lineRule="auto"/>
    </w:pPr>
    <w:rPr>
      <w:rFonts w:asciiTheme="minorHAnsi" w:eastAsiaTheme="minorHAnsi" w:hAnsiTheme="minorHAnsi" w:cstheme="minorBidi"/>
      <w:sz w:val="22"/>
      <w:szCs w:val="22"/>
    </w:rPr>
  </w:style>
  <w:style w:type="paragraph" w:styleId="Titre1">
    <w:name w:val="heading 1"/>
    <w:basedOn w:val="Normal"/>
    <w:link w:val="Titre1Car"/>
    <w:qFormat/>
    <w:rsid w:val="00DC0582"/>
    <w:pPr>
      <w:spacing w:before="100" w:beforeAutospacing="1" w:after="100" w:afterAutospacing="1"/>
      <w:outlineLvl w:val="0"/>
    </w:pPr>
    <w:rPr>
      <w:rFonts w:asciiTheme="majorHAnsi" w:hAnsiTheme="majorHAnsi"/>
      <w:b/>
      <w:bCs/>
      <w:i/>
      <w:kern w:val="36"/>
      <w:sz w:val="72"/>
      <w:szCs w:val="48"/>
    </w:rPr>
  </w:style>
  <w:style w:type="paragraph" w:styleId="Titre2">
    <w:name w:val="heading 2"/>
    <w:basedOn w:val="Normal"/>
    <w:next w:val="Normal"/>
    <w:link w:val="Titre2Car"/>
    <w:uiPriority w:val="9"/>
    <w:unhideWhenUsed/>
    <w:qFormat/>
    <w:rsid w:val="00F36D36"/>
    <w:pPr>
      <w:keepNext/>
      <w:keepLines/>
      <w:spacing w:before="40" w:after="0"/>
      <w:outlineLvl w:val="1"/>
    </w:pPr>
    <w:rPr>
      <w:rFonts w:asciiTheme="majorHAnsi" w:eastAsiaTheme="majorEastAsia" w:hAnsiTheme="majorHAnsi" w:cstheme="majorBidi"/>
      <w:b/>
      <w:sz w:val="20"/>
      <w:szCs w:val="26"/>
      <w:u w:val="single"/>
    </w:rPr>
  </w:style>
  <w:style w:type="paragraph" w:styleId="Titre4">
    <w:name w:val="heading 4"/>
    <w:basedOn w:val="Normal"/>
    <w:link w:val="Titre4Car"/>
    <w:qFormat/>
    <w:rsid w:val="00DC0582"/>
    <w:pPr>
      <w:spacing w:before="100" w:beforeAutospacing="1" w:after="100" w:afterAutospacing="1"/>
      <w:outlineLvl w:val="3"/>
    </w:pPr>
    <w:rPr>
      <w:b/>
      <w:bCs/>
    </w:rPr>
  </w:style>
  <w:style w:type="paragraph" w:styleId="Titre5">
    <w:name w:val="heading 5"/>
    <w:basedOn w:val="Normal"/>
    <w:link w:val="Titre5Car"/>
    <w:qFormat/>
    <w:rsid w:val="00DC0582"/>
    <w:pPr>
      <w:spacing w:before="100" w:beforeAutospacing="1" w:after="100" w:afterAutospacing="1"/>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C0582"/>
    <w:rPr>
      <w:rFonts w:asciiTheme="majorHAnsi" w:hAnsiTheme="majorHAnsi"/>
      <w:b/>
      <w:bCs/>
      <w:i/>
      <w:kern w:val="36"/>
      <w:sz w:val="72"/>
      <w:szCs w:val="48"/>
    </w:rPr>
  </w:style>
  <w:style w:type="character" w:customStyle="1" w:styleId="Titre4Car">
    <w:name w:val="Titre 4 Car"/>
    <w:link w:val="Titre4"/>
    <w:rsid w:val="00DC0582"/>
    <w:rPr>
      <w:b/>
      <w:bCs/>
      <w:sz w:val="24"/>
      <w:szCs w:val="24"/>
    </w:rPr>
  </w:style>
  <w:style w:type="character" w:customStyle="1" w:styleId="Titre5Car">
    <w:name w:val="Titre 5 Car"/>
    <w:link w:val="Titre5"/>
    <w:rsid w:val="00DC0582"/>
    <w:rPr>
      <w:b/>
      <w:bCs/>
    </w:rPr>
  </w:style>
  <w:style w:type="paragraph" w:styleId="Notedebasdepage">
    <w:name w:val="footnote text"/>
    <w:aliases w:val="FOOTNOTES,fn,single space,footnote text,ft,ALTS FOOTNOTE,Footnote Text Char2 Char,Footnote Text Char1 Char Char,Footnote Text Char2 Char Char Char,Footnote Text Char1 Char Char Char Char,Footnote Text Char2 Char Char Char Char Char,f"/>
    <w:basedOn w:val="Normal"/>
    <w:link w:val="NotedebasdepageCar"/>
    <w:uiPriority w:val="99"/>
    <w:qFormat/>
    <w:rsid w:val="00DC0582"/>
    <w:rPr>
      <w:sz w:val="20"/>
      <w:szCs w:val="20"/>
    </w:rPr>
  </w:style>
  <w:style w:type="character" w:customStyle="1" w:styleId="NotedebasdepageCar">
    <w:name w:val="Note de bas de page Car"/>
    <w:aliases w:val="FOOTNOTES Car,fn Car,single space Car,footnote text Car,ft Car,ALTS FOOTNOTE Car,Footnote Text Char2 Char Car,Footnote Text Char1 Char Char Car,Footnote Text Char2 Char Char Char Car,Footnote Text Char1 Char Char Char Char Car"/>
    <w:basedOn w:val="Policepardfaut"/>
    <w:link w:val="Notedebasdepage"/>
    <w:uiPriority w:val="99"/>
    <w:rsid w:val="00DC0582"/>
  </w:style>
  <w:style w:type="character" w:styleId="lev">
    <w:name w:val="Strong"/>
    <w:qFormat/>
    <w:rsid w:val="00DC0582"/>
    <w:rPr>
      <w:b/>
      <w:bCs/>
    </w:rPr>
  </w:style>
  <w:style w:type="paragraph" w:styleId="Paragraphedeliste">
    <w:name w:val="List Paragraph"/>
    <w:basedOn w:val="Normal"/>
    <w:link w:val="ParagraphedelisteCar"/>
    <w:uiPriority w:val="34"/>
    <w:qFormat/>
    <w:rsid w:val="00DC0582"/>
    <w:pPr>
      <w:ind w:left="720"/>
      <w:contextualSpacing/>
    </w:pPr>
    <w:rPr>
      <w:sz w:val="20"/>
      <w:szCs w:val="20"/>
    </w:rPr>
  </w:style>
  <w:style w:type="paragraph" w:styleId="En-ttedetabledesmatires">
    <w:name w:val="TOC Heading"/>
    <w:basedOn w:val="Titre1"/>
    <w:next w:val="Normal"/>
    <w:uiPriority w:val="39"/>
    <w:unhideWhenUsed/>
    <w:qFormat/>
    <w:rsid w:val="00DC0582"/>
    <w:pPr>
      <w:keepNext/>
      <w:keepLines/>
      <w:spacing w:before="480" w:beforeAutospacing="0" w:after="0" w:afterAutospacing="0" w:line="276" w:lineRule="auto"/>
      <w:outlineLvl w:val="9"/>
    </w:pPr>
    <w:rPr>
      <w:rFonts w:eastAsiaTheme="majorEastAsia" w:cstheme="majorBidi"/>
      <w:color w:val="365F91" w:themeColor="accent1" w:themeShade="BF"/>
      <w:kern w:val="0"/>
      <w:sz w:val="28"/>
      <w:szCs w:val="28"/>
      <w:lang w:val="en-GB"/>
    </w:rPr>
  </w:style>
  <w:style w:type="character" w:customStyle="1" w:styleId="Titre2Car">
    <w:name w:val="Titre 2 Car"/>
    <w:basedOn w:val="Policepardfaut"/>
    <w:link w:val="Titre2"/>
    <w:uiPriority w:val="9"/>
    <w:rsid w:val="00F36D36"/>
    <w:rPr>
      <w:rFonts w:asciiTheme="majorHAnsi" w:eastAsiaTheme="majorEastAsia" w:hAnsiTheme="majorHAnsi" w:cstheme="majorBidi"/>
      <w:b/>
      <w:szCs w:val="26"/>
      <w:u w:val="single"/>
    </w:rPr>
  </w:style>
  <w:style w:type="character" w:customStyle="1" w:styleId="ParagraphedelisteCar">
    <w:name w:val="Paragraphe de liste Car"/>
    <w:basedOn w:val="Policepardfaut"/>
    <w:link w:val="Paragraphedeliste"/>
    <w:uiPriority w:val="34"/>
    <w:locked/>
    <w:rsid w:val="00F36D36"/>
  </w:style>
  <w:style w:type="paragraph" w:customStyle="1" w:styleId="CorpoA">
    <w:name w:val="Corpo A"/>
    <w:rsid w:val="00F36D36"/>
    <w:rPr>
      <w:rFonts w:eastAsia="Arial Unicode MS" w:hAnsi="Arial Unicode MS" w:cs="Arial Unicode MS"/>
      <w:color w:val="000000"/>
      <w:sz w:val="24"/>
      <w:szCs w:val="24"/>
      <w:u w:color="000000"/>
      <w:lang w:eastAsia="fr-FR"/>
    </w:rPr>
  </w:style>
  <w:style w:type="paragraph" w:styleId="En-tte">
    <w:name w:val="header"/>
    <w:basedOn w:val="Normal"/>
    <w:link w:val="En-tteCar"/>
    <w:uiPriority w:val="99"/>
    <w:unhideWhenUsed/>
    <w:rsid w:val="00F22CD2"/>
    <w:pPr>
      <w:tabs>
        <w:tab w:val="center" w:pos="4536"/>
        <w:tab w:val="right" w:pos="9072"/>
      </w:tabs>
      <w:spacing w:after="0" w:line="240" w:lineRule="auto"/>
    </w:pPr>
  </w:style>
  <w:style w:type="character" w:customStyle="1" w:styleId="En-tteCar">
    <w:name w:val="En-tête Car"/>
    <w:basedOn w:val="Policepardfaut"/>
    <w:link w:val="En-tte"/>
    <w:uiPriority w:val="99"/>
    <w:rsid w:val="00F22CD2"/>
    <w:rPr>
      <w:rFonts w:asciiTheme="minorHAnsi" w:eastAsiaTheme="minorHAnsi" w:hAnsiTheme="minorHAnsi" w:cstheme="minorBidi"/>
      <w:sz w:val="22"/>
      <w:szCs w:val="22"/>
    </w:rPr>
  </w:style>
  <w:style w:type="paragraph" w:styleId="Pieddepage">
    <w:name w:val="footer"/>
    <w:basedOn w:val="Normal"/>
    <w:link w:val="PieddepageCar"/>
    <w:uiPriority w:val="99"/>
    <w:unhideWhenUsed/>
    <w:rsid w:val="00F22C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2CD2"/>
    <w:rPr>
      <w:rFonts w:asciiTheme="minorHAnsi" w:eastAsiaTheme="minorHAnsi" w:hAnsiTheme="minorHAnsi" w:cstheme="minorBidi"/>
      <w:sz w:val="22"/>
      <w:szCs w:val="22"/>
    </w:rPr>
  </w:style>
  <w:style w:type="table" w:styleId="Grilledutableau">
    <w:name w:val="Table Grid"/>
    <w:basedOn w:val="TableauNormal"/>
    <w:rsid w:val="00F22CD2"/>
    <w:rPr>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541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41B6"/>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36"/>
    <w:pPr>
      <w:spacing w:after="160" w:line="259" w:lineRule="auto"/>
    </w:pPr>
    <w:rPr>
      <w:rFonts w:asciiTheme="minorHAnsi" w:eastAsiaTheme="minorHAnsi" w:hAnsiTheme="minorHAnsi" w:cstheme="minorBidi"/>
      <w:sz w:val="22"/>
      <w:szCs w:val="22"/>
    </w:rPr>
  </w:style>
  <w:style w:type="paragraph" w:styleId="Titre1">
    <w:name w:val="heading 1"/>
    <w:basedOn w:val="Normal"/>
    <w:link w:val="Titre1Car"/>
    <w:qFormat/>
    <w:rsid w:val="00DC0582"/>
    <w:pPr>
      <w:spacing w:before="100" w:beforeAutospacing="1" w:after="100" w:afterAutospacing="1"/>
      <w:outlineLvl w:val="0"/>
    </w:pPr>
    <w:rPr>
      <w:rFonts w:asciiTheme="majorHAnsi" w:hAnsiTheme="majorHAnsi"/>
      <w:b/>
      <w:bCs/>
      <w:i/>
      <w:kern w:val="36"/>
      <w:sz w:val="72"/>
      <w:szCs w:val="48"/>
    </w:rPr>
  </w:style>
  <w:style w:type="paragraph" w:styleId="Titre2">
    <w:name w:val="heading 2"/>
    <w:basedOn w:val="Normal"/>
    <w:next w:val="Normal"/>
    <w:link w:val="Titre2Car"/>
    <w:uiPriority w:val="9"/>
    <w:unhideWhenUsed/>
    <w:qFormat/>
    <w:rsid w:val="00F36D36"/>
    <w:pPr>
      <w:keepNext/>
      <w:keepLines/>
      <w:spacing w:before="40" w:after="0"/>
      <w:outlineLvl w:val="1"/>
    </w:pPr>
    <w:rPr>
      <w:rFonts w:asciiTheme="majorHAnsi" w:eastAsiaTheme="majorEastAsia" w:hAnsiTheme="majorHAnsi" w:cstheme="majorBidi"/>
      <w:b/>
      <w:sz w:val="20"/>
      <w:szCs w:val="26"/>
      <w:u w:val="single"/>
    </w:rPr>
  </w:style>
  <w:style w:type="paragraph" w:styleId="Titre4">
    <w:name w:val="heading 4"/>
    <w:basedOn w:val="Normal"/>
    <w:link w:val="Titre4Car"/>
    <w:qFormat/>
    <w:rsid w:val="00DC0582"/>
    <w:pPr>
      <w:spacing w:before="100" w:beforeAutospacing="1" w:after="100" w:afterAutospacing="1"/>
      <w:outlineLvl w:val="3"/>
    </w:pPr>
    <w:rPr>
      <w:b/>
      <w:bCs/>
    </w:rPr>
  </w:style>
  <w:style w:type="paragraph" w:styleId="Titre5">
    <w:name w:val="heading 5"/>
    <w:basedOn w:val="Normal"/>
    <w:link w:val="Titre5Car"/>
    <w:qFormat/>
    <w:rsid w:val="00DC0582"/>
    <w:pPr>
      <w:spacing w:before="100" w:beforeAutospacing="1" w:after="100" w:afterAutospacing="1"/>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C0582"/>
    <w:rPr>
      <w:rFonts w:asciiTheme="majorHAnsi" w:hAnsiTheme="majorHAnsi"/>
      <w:b/>
      <w:bCs/>
      <w:i/>
      <w:kern w:val="36"/>
      <w:sz w:val="72"/>
      <w:szCs w:val="48"/>
    </w:rPr>
  </w:style>
  <w:style w:type="character" w:customStyle="1" w:styleId="Titre4Car">
    <w:name w:val="Titre 4 Car"/>
    <w:link w:val="Titre4"/>
    <w:rsid w:val="00DC0582"/>
    <w:rPr>
      <w:b/>
      <w:bCs/>
      <w:sz w:val="24"/>
      <w:szCs w:val="24"/>
    </w:rPr>
  </w:style>
  <w:style w:type="character" w:customStyle="1" w:styleId="Titre5Car">
    <w:name w:val="Titre 5 Car"/>
    <w:link w:val="Titre5"/>
    <w:rsid w:val="00DC0582"/>
    <w:rPr>
      <w:b/>
      <w:bCs/>
    </w:rPr>
  </w:style>
  <w:style w:type="paragraph" w:styleId="Notedebasdepage">
    <w:name w:val="footnote text"/>
    <w:aliases w:val="FOOTNOTES,fn,single space,footnote text,ft,ALTS FOOTNOTE,Footnote Text Char2 Char,Footnote Text Char1 Char Char,Footnote Text Char2 Char Char Char,Footnote Text Char1 Char Char Char Char,Footnote Text Char2 Char Char Char Char Char,f"/>
    <w:basedOn w:val="Normal"/>
    <w:link w:val="NotedebasdepageCar"/>
    <w:uiPriority w:val="99"/>
    <w:qFormat/>
    <w:rsid w:val="00DC0582"/>
    <w:rPr>
      <w:sz w:val="20"/>
      <w:szCs w:val="20"/>
    </w:rPr>
  </w:style>
  <w:style w:type="character" w:customStyle="1" w:styleId="NotedebasdepageCar">
    <w:name w:val="Note de bas de page Car"/>
    <w:aliases w:val="FOOTNOTES Car,fn Car,single space Car,footnote text Car,ft Car,ALTS FOOTNOTE Car,Footnote Text Char2 Char Car,Footnote Text Char1 Char Char Car,Footnote Text Char2 Char Char Char Car,Footnote Text Char1 Char Char Char Char Car"/>
    <w:basedOn w:val="Policepardfaut"/>
    <w:link w:val="Notedebasdepage"/>
    <w:uiPriority w:val="99"/>
    <w:rsid w:val="00DC0582"/>
  </w:style>
  <w:style w:type="character" w:styleId="lev">
    <w:name w:val="Strong"/>
    <w:qFormat/>
    <w:rsid w:val="00DC0582"/>
    <w:rPr>
      <w:b/>
      <w:bCs/>
    </w:rPr>
  </w:style>
  <w:style w:type="paragraph" w:styleId="Paragraphedeliste">
    <w:name w:val="List Paragraph"/>
    <w:basedOn w:val="Normal"/>
    <w:link w:val="ParagraphedelisteCar"/>
    <w:uiPriority w:val="34"/>
    <w:qFormat/>
    <w:rsid w:val="00DC0582"/>
    <w:pPr>
      <w:ind w:left="720"/>
      <w:contextualSpacing/>
    </w:pPr>
    <w:rPr>
      <w:sz w:val="20"/>
      <w:szCs w:val="20"/>
    </w:rPr>
  </w:style>
  <w:style w:type="paragraph" w:styleId="En-ttedetabledesmatires">
    <w:name w:val="TOC Heading"/>
    <w:basedOn w:val="Titre1"/>
    <w:next w:val="Normal"/>
    <w:uiPriority w:val="39"/>
    <w:unhideWhenUsed/>
    <w:qFormat/>
    <w:rsid w:val="00DC0582"/>
    <w:pPr>
      <w:keepNext/>
      <w:keepLines/>
      <w:spacing w:before="480" w:beforeAutospacing="0" w:after="0" w:afterAutospacing="0" w:line="276" w:lineRule="auto"/>
      <w:outlineLvl w:val="9"/>
    </w:pPr>
    <w:rPr>
      <w:rFonts w:eastAsiaTheme="majorEastAsia" w:cstheme="majorBidi"/>
      <w:color w:val="365F91" w:themeColor="accent1" w:themeShade="BF"/>
      <w:kern w:val="0"/>
      <w:sz w:val="28"/>
      <w:szCs w:val="28"/>
      <w:lang w:val="en-GB"/>
    </w:rPr>
  </w:style>
  <w:style w:type="character" w:customStyle="1" w:styleId="Titre2Car">
    <w:name w:val="Titre 2 Car"/>
    <w:basedOn w:val="Policepardfaut"/>
    <w:link w:val="Titre2"/>
    <w:uiPriority w:val="9"/>
    <w:rsid w:val="00F36D36"/>
    <w:rPr>
      <w:rFonts w:asciiTheme="majorHAnsi" w:eastAsiaTheme="majorEastAsia" w:hAnsiTheme="majorHAnsi" w:cstheme="majorBidi"/>
      <w:b/>
      <w:szCs w:val="26"/>
      <w:u w:val="single"/>
    </w:rPr>
  </w:style>
  <w:style w:type="character" w:customStyle="1" w:styleId="ParagraphedelisteCar">
    <w:name w:val="Paragraphe de liste Car"/>
    <w:basedOn w:val="Policepardfaut"/>
    <w:link w:val="Paragraphedeliste"/>
    <w:uiPriority w:val="34"/>
    <w:locked/>
    <w:rsid w:val="00F36D36"/>
  </w:style>
  <w:style w:type="paragraph" w:customStyle="1" w:styleId="CorpoA">
    <w:name w:val="Corpo A"/>
    <w:rsid w:val="00F36D36"/>
    <w:rPr>
      <w:rFonts w:eastAsia="Arial Unicode MS" w:hAnsi="Arial Unicode MS" w:cs="Arial Unicode MS"/>
      <w:color w:val="000000"/>
      <w:sz w:val="24"/>
      <w:szCs w:val="24"/>
      <w:u w:color="000000"/>
      <w:lang w:eastAsia="fr-FR"/>
    </w:rPr>
  </w:style>
  <w:style w:type="paragraph" w:styleId="En-tte">
    <w:name w:val="header"/>
    <w:basedOn w:val="Normal"/>
    <w:link w:val="En-tteCar"/>
    <w:uiPriority w:val="99"/>
    <w:unhideWhenUsed/>
    <w:rsid w:val="00F22CD2"/>
    <w:pPr>
      <w:tabs>
        <w:tab w:val="center" w:pos="4536"/>
        <w:tab w:val="right" w:pos="9072"/>
      </w:tabs>
      <w:spacing w:after="0" w:line="240" w:lineRule="auto"/>
    </w:pPr>
  </w:style>
  <w:style w:type="character" w:customStyle="1" w:styleId="En-tteCar">
    <w:name w:val="En-tête Car"/>
    <w:basedOn w:val="Policepardfaut"/>
    <w:link w:val="En-tte"/>
    <w:uiPriority w:val="99"/>
    <w:rsid w:val="00F22CD2"/>
    <w:rPr>
      <w:rFonts w:asciiTheme="minorHAnsi" w:eastAsiaTheme="minorHAnsi" w:hAnsiTheme="minorHAnsi" w:cstheme="minorBidi"/>
      <w:sz w:val="22"/>
      <w:szCs w:val="22"/>
    </w:rPr>
  </w:style>
  <w:style w:type="paragraph" w:styleId="Pieddepage">
    <w:name w:val="footer"/>
    <w:basedOn w:val="Normal"/>
    <w:link w:val="PieddepageCar"/>
    <w:uiPriority w:val="99"/>
    <w:unhideWhenUsed/>
    <w:rsid w:val="00F22C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2CD2"/>
    <w:rPr>
      <w:rFonts w:asciiTheme="minorHAnsi" w:eastAsiaTheme="minorHAnsi" w:hAnsiTheme="minorHAnsi" w:cstheme="minorBidi"/>
      <w:sz w:val="22"/>
      <w:szCs w:val="22"/>
    </w:rPr>
  </w:style>
  <w:style w:type="table" w:styleId="Grilledutableau">
    <w:name w:val="Table Grid"/>
    <w:basedOn w:val="TableauNormal"/>
    <w:rsid w:val="00F22CD2"/>
    <w:rPr>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541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41B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1082</Words>
  <Characters>5956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Ivision</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JABOEUF</dc:creator>
  <cp:lastModifiedBy>Julie GUILLAUME</cp:lastModifiedBy>
  <cp:revision>14</cp:revision>
  <cp:lastPrinted>2017-06-16T09:47:00Z</cp:lastPrinted>
  <dcterms:created xsi:type="dcterms:W3CDTF">2017-05-30T06:57:00Z</dcterms:created>
  <dcterms:modified xsi:type="dcterms:W3CDTF">2017-06-16T09:47:00Z</dcterms:modified>
</cp:coreProperties>
</file>