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97287" w14:textId="77777777" w:rsidR="007B46FA" w:rsidRPr="007B2D55" w:rsidRDefault="007B46FA" w:rsidP="00B67910">
      <w:pPr>
        <w:pBdr>
          <w:bottom w:val="single" w:sz="4" w:space="1" w:color="auto"/>
        </w:pBdr>
        <w:jc w:val="center"/>
        <w:rPr>
          <w:rFonts w:ascii="Calibri" w:hAnsi="Calibri" w:cs="Calibri"/>
          <w:bCs/>
          <w:caps/>
          <w:lang w:val="fr-FR"/>
        </w:rPr>
      </w:pPr>
    </w:p>
    <w:p w14:paraId="50BB907D" w14:textId="023F7F93" w:rsidR="00EC63FF" w:rsidRPr="007B2D55" w:rsidRDefault="00EC63FF" w:rsidP="00B67910">
      <w:pPr>
        <w:pBdr>
          <w:bottom w:val="single" w:sz="4" w:space="1" w:color="auto"/>
        </w:pBdr>
        <w:jc w:val="center"/>
        <w:rPr>
          <w:rFonts w:ascii="Calibri" w:hAnsi="Calibri" w:cs="Calibri"/>
          <w:bCs/>
          <w:caps/>
          <w:lang w:val="fr-FR"/>
        </w:rPr>
      </w:pPr>
      <w:r w:rsidRPr="007B2D55">
        <w:rPr>
          <w:rFonts w:ascii="Calibri" w:hAnsi="Calibri" w:cs="Calibri"/>
          <w:bCs/>
          <w:caps/>
          <w:lang w:val="fr-FR"/>
        </w:rPr>
        <w:t>Initiat</w:t>
      </w:r>
      <w:r w:rsidR="005A1E6D" w:rsidRPr="007B2D55">
        <w:rPr>
          <w:rFonts w:ascii="Calibri" w:hAnsi="Calibri" w:cs="Calibri"/>
          <w:bCs/>
          <w:caps/>
          <w:lang w:val="fr-FR"/>
        </w:rPr>
        <w:t>I</w:t>
      </w:r>
      <w:r w:rsidRPr="007B2D55">
        <w:rPr>
          <w:rFonts w:ascii="Calibri" w:hAnsi="Calibri" w:cs="Calibri"/>
          <w:bCs/>
          <w:caps/>
          <w:lang w:val="fr-FR"/>
        </w:rPr>
        <w:t>ve pour la santé et la salubrité en ville (ISSV)</w:t>
      </w:r>
    </w:p>
    <w:p w14:paraId="590DEC43" w14:textId="77777777" w:rsidR="00CB1E52" w:rsidRPr="007B2D55" w:rsidRDefault="00CB1E52" w:rsidP="00B67910">
      <w:pPr>
        <w:pBdr>
          <w:bottom w:val="single" w:sz="4" w:space="1" w:color="auto"/>
        </w:pBdr>
        <w:jc w:val="center"/>
        <w:rPr>
          <w:rFonts w:ascii="Calibri" w:hAnsi="Calibri" w:cs="Calibri"/>
          <w:bCs/>
          <w:caps/>
          <w:lang w:val="fr-FR"/>
        </w:rPr>
      </w:pPr>
    </w:p>
    <w:p w14:paraId="51EBF839" w14:textId="77777777" w:rsidR="00CB1E52" w:rsidRPr="007B2D55" w:rsidRDefault="00CB1E52" w:rsidP="00CB1E52">
      <w:pPr>
        <w:pBdr>
          <w:bottom w:val="single" w:sz="4" w:space="1" w:color="auto"/>
        </w:pBdr>
        <w:jc w:val="center"/>
        <w:rPr>
          <w:rFonts w:ascii="Calibri" w:hAnsi="Calibri"/>
          <w:bCs/>
          <w:caps/>
          <w:sz w:val="28"/>
          <w:szCs w:val="28"/>
          <w:lang w:val="fr-FR"/>
        </w:rPr>
      </w:pPr>
      <w:r w:rsidRPr="007B2D55">
        <w:rPr>
          <w:rFonts w:ascii="Calibri" w:hAnsi="Calibri"/>
          <w:bCs/>
          <w:caps/>
          <w:sz w:val="28"/>
          <w:szCs w:val="28"/>
          <w:lang w:val="fr-FR"/>
        </w:rPr>
        <w:t>-</w:t>
      </w:r>
    </w:p>
    <w:p w14:paraId="74F93A9F" w14:textId="74E04F01" w:rsidR="007B46FA" w:rsidRPr="007B2D55" w:rsidRDefault="0014276F" w:rsidP="007B46FA">
      <w:pPr>
        <w:pBdr>
          <w:bottom w:val="single" w:sz="4" w:space="1" w:color="auto"/>
        </w:pBdr>
        <w:spacing w:after="0"/>
        <w:jc w:val="center"/>
        <w:rPr>
          <w:rFonts w:ascii="Calibri" w:hAnsi="Calibri" w:cs="Calibri"/>
          <w:bCs/>
          <w:caps/>
          <w:sz w:val="28"/>
          <w:szCs w:val="28"/>
          <w:lang w:val="fr-FR"/>
        </w:rPr>
      </w:pPr>
      <w:r w:rsidRPr="007B2D55">
        <w:rPr>
          <w:rFonts w:ascii="Calibri" w:hAnsi="Calibri" w:cs="Calibri"/>
          <w:bCs/>
          <w:caps/>
          <w:sz w:val="28"/>
          <w:szCs w:val="28"/>
          <w:lang w:val="fr-FR"/>
        </w:rPr>
        <w:t xml:space="preserve">Stratégie </w:t>
      </w:r>
      <w:r w:rsidR="00E84A09">
        <w:rPr>
          <w:rFonts w:ascii="Calibri" w:hAnsi="Calibri" w:cs="Calibri"/>
          <w:bCs/>
          <w:caps/>
          <w:sz w:val="28"/>
          <w:szCs w:val="28"/>
          <w:lang w:val="fr-FR"/>
        </w:rPr>
        <w:t>REGIONALE</w:t>
      </w:r>
      <w:r w:rsidRPr="007B2D55">
        <w:rPr>
          <w:rFonts w:ascii="Calibri" w:hAnsi="Calibri" w:cs="Calibri"/>
          <w:bCs/>
          <w:caps/>
          <w:sz w:val="28"/>
          <w:szCs w:val="28"/>
          <w:lang w:val="fr-FR"/>
        </w:rPr>
        <w:t xml:space="preserve"> pour le développement </w:t>
      </w:r>
    </w:p>
    <w:p w14:paraId="184AE5AB" w14:textId="77777777" w:rsidR="007B46FA" w:rsidRPr="007B2D55" w:rsidRDefault="0014276F" w:rsidP="007B46FA">
      <w:pPr>
        <w:pBdr>
          <w:bottom w:val="single" w:sz="4" w:space="1" w:color="auto"/>
        </w:pBdr>
        <w:spacing w:after="0"/>
        <w:jc w:val="center"/>
        <w:rPr>
          <w:rFonts w:ascii="Calibri" w:hAnsi="Calibri" w:cs="Calibri"/>
          <w:bCs/>
          <w:caps/>
          <w:sz w:val="28"/>
          <w:szCs w:val="28"/>
          <w:lang w:val="fr-FR"/>
        </w:rPr>
      </w:pPr>
      <w:r w:rsidRPr="007B2D55">
        <w:rPr>
          <w:rFonts w:ascii="Calibri" w:hAnsi="Calibri" w:cs="Calibri"/>
          <w:bCs/>
          <w:caps/>
          <w:sz w:val="28"/>
          <w:szCs w:val="28"/>
          <w:lang w:val="fr-FR"/>
        </w:rPr>
        <w:t xml:space="preserve">d’une filière de gestion des boues de vidange innovante et durable </w:t>
      </w:r>
    </w:p>
    <w:p w14:paraId="0C5986FF" w14:textId="6F2D029E" w:rsidR="0014276F" w:rsidRPr="007B2D55" w:rsidRDefault="0014276F" w:rsidP="007B46FA">
      <w:pPr>
        <w:pBdr>
          <w:bottom w:val="single" w:sz="4" w:space="1" w:color="auto"/>
        </w:pBdr>
        <w:spacing w:after="0"/>
        <w:jc w:val="center"/>
        <w:rPr>
          <w:rFonts w:ascii="Calibri" w:hAnsi="Calibri" w:cs="Calibri"/>
          <w:bCs/>
          <w:caps/>
          <w:sz w:val="28"/>
          <w:szCs w:val="28"/>
          <w:lang w:val="fr-FR"/>
        </w:rPr>
      </w:pPr>
      <w:r w:rsidRPr="007B2D55">
        <w:rPr>
          <w:rFonts w:ascii="Calibri" w:hAnsi="Calibri" w:cs="Calibri"/>
          <w:bCs/>
          <w:caps/>
          <w:sz w:val="28"/>
          <w:szCs w:val="28"/>
          <w:lang w:val="fr-FR"/>
        </w:rPr>
        <w:t xml:space="preserve">à </w:t>
      </w:r>
      <w:r w:rsidR="00551395">
        <w:rPr>
          <w:rFonts w:ascii="Calibri" w:hAnsi="Calibri" w:cs="Calibri"/>
          <w:bCs/>
          <w:caps/>
          <w:sz w:val="28"/>
          <w:szCs w:val="28"/>
          <w:lang w:val="fr-FR"/>
        </w:rPr>
        <w:t>NOUAKCHOTT</w:t>
      </w:r>
      <w:r w:rsidR="003D11F6" w:rsidRPr="007B2D55">
        <w:rPr>
          <w:rFonts w:ascii="Calibri" w:hAnsi="Calibri" w:cs="Calibri"/>
          <w:bCs/>
          <w:caps/>
          <w:sz w:val="28"/>
          <w:szCs w:val="28"/>
          <w:lang w:val="fr-FR"/>
        </w:rPr>
        <w:t xml:space="preserve">, République </w:t>
      </w:r>
      <w:r w:rsidR="00551395">
        <w:rPr>
          <w:rFonts w:ascii="Calibri" w:hAnsi="Calibri" w:cs="Calibri"/>
          <w:bCs/>
          <w:caps/>
          <w:sz w:val="28"/>
          <w:szCs w:val="28"/>
          <w:lang w:val="fr-FR"/>
        </w:rPr>
        <w:t>ISLAMIQUE</w:t>
      </w:r>
      <w:r w:rsidR="003D11F6" w:rsidRPr="007B2D55">
        <w:rPr>
          <w:rFonts w:ascii="Calibri" w:hAnsi="Calibri" w:cs="Calibri"/>
          <w:bCs/>
          <w:caps/>
          <w:sz w:val="28"/>
          <w:szCs w:val="28"/>
          <w:lang w:val="fr-FR"/>
        </w:rPr>
        <w:t xml:space="preserve"> du </w:t>
      </w:r>
      <w:r w:rsidR="00551395">
        <w:rPr>
          <w:rFonts w:ascii="Calibri" w:hAnsi="Calibri" w:cs="Calibri"/>
          <w:bCs/>
          <w:caps/>
          <w:sz w:val="28"/>
          <w:szCs w:val="28"/>
          <w:lang w:val="fr-FR"/>
        </w:rPr>
        <w:t>MAURITANIE</w:t>
      </w:r>
    </w:p>
    <w:p w14:paraId="619CAF1D" w14:textId="77777777" w:rsidR="007B46FA" w:rsidRPr="007B2D55" w:rsidRDefault="007B46FA" w:rsidP="0014276F">
      <w:pPr>
        <w:pBdr>
          <w:bottom w:val="single" w:sz="4" w:space="1" w:color="auto"/>
        </w:pBdr>
        <w:jc w:val="center"/>
        <w:rPr>
          <w:rFonts w:ascii="Calibri" w:hAnsi="Calibri"/>
          <w:bCs/>
          <w:caps/>
          <w:sz w:val="28"/>
          <w:szCs w:val="28"/>
          <w:lang w:val="fr-FR"/>
        </w:rPr>
      </w:pPr>
      <w:r w:rsidRPr="007B2D55">
        <w:rPr>
          <w:rFonts w:ascii="Calibri" w:hAnsi="Calibri"/>
          <w:bCs/>
          <w:caps/>
          <w:sz w:val="28"/>
          <w:szCs w:val="28"/>
          <w:lang w:val="fr-FR"/>
        </w:rPr>
        <w:t>-</w:t>
      </w:r>
    </w:p>
    <w:p w14:paraId="52F6DA81" w14:textId="34353949" w:rsidR="0014276F" w:rsidRPr="007B2D55" w:rsidRDefault="003D11F6" w:rsidP="00B67910">
      <w:pPr>
        <w:pBdr>
          <w:bottom w:val="single" w:sz="4" w:space="1" w:color="auto"/>
        </w:pBdr>
        <w:jc w:val="center"/>
        <w:rPr>
          <w:rFonts w:ascii="Calibri" w:hAnsi="Calibri" w:cs="Calibri"/>
          <w:b/>
          <w:caps/>
          <w:lang w:val="fr-FR"/>
        </w:rPr>
      </w:pPr>
      <w:r w:rsidRPr="007B2D55">
        <w:rPr>
          <w:rFonts w:ascii="Calibri" w:hAnsi="Calibri" w:cs="Calibri"/>
          <w:b/>
          <w:caps/>
          <w:lang w:val="fr-FR"/>
        </w:rPr>
        <w:t>Etude socio-economique</w:t>
      </w:r>
      <w:r w:rsidR="009F1264" w:rsidRPr="007B2D55">
        <w:rPr>
          <w:rFonts w:ascii="Calibri" w:hAnsi="Calibri" w:cs="Calibri"/>
          <w:b/>
          <w:caps/>
          <w:lang w:val="fr-FR"/>
        </w:rPr>
        <w:t xml:space="preserve">, ZonaGE ET </w:t>
      </w:r>
      <w:r w:rsidRPr="007B2D55">
        <w:rPr>
          <w:rFonts w:ascii="Calibri" w:hAnsi="Calibri" w:cs="Calibri"/>
          <w:b/>
          <w:caps/>
          <w:lang w:val="fr-FR"/>
        </w:rPr>
        <w:t xml:space="preserve">cartographie des services de gestion des boues de vidange à </w:t>
      </w:r>
      <w:r w:rsidR="00551395">
        <w:rPr>
          <w:rFonts w:ascii="Calibri" w:hAnsi="Calibri" w:cs="Calibri"/>
          <w:b/>
          <w:caps/>
          <w:lang w:val="fr-FR"/>
        </w:rPr>
        <w:t>nouakchott</w:t>
      </w:r>
    </w:p>
    <w:p w14:paraId="0B4366BA" w14:textId="59F6BEBD" w:rsidR="00B6164C" w:rsidRDefault="00B6164C" w:rsidP="00B67910">
      <w:pPr>
        <w:pBdr>
          <w:bottom w:val="single" w:sz="4" w:space="1" w:color="auto"/>
        </w:pBdr>
        <w:jc w:val="center"/>
        <w:rPr>
          <w:rFonts w:ascii="Calibri" w:hAnsi="Calibri" w:cs="Calibri"/>
          <w:b/>
          <w:caps/>
          <w:lang w:val="fr-FR"/>
        </w:rPr>
      </w:pPr>
      <w:r w:rsidRPr="007B2D55">
        <w:rPr>
          <w:rFonts w:ascii="Calibri" w:hAnsi="Calibri" w:cs="Calibri"/>
          <w:b/>
          <w:caps/>
          <w:lang w:val="fr-FR"/>
        </w:rPr>
        <w:t>Termes de references</w:t>
      </w:r>
      <w:r w:rsidR="009A43C6">
        <w:rPr>
          <w:rFonts w:ascii="Calibri" w:hAnsi="Calibri" w:cs="Calibri"/>
          <w:b/>
          <w:caps/>
          <w:lang w:val="fr-FR"/>
        </w:rPr>
        <w:t xml:space="preserve"> </w:t>
      </w:r>
    </w:p>
    <w:p w14:paraId="6A003100" w14:textId="78E37E4E" w:rsidR="009A43C6" w:rsidRPr="007B2D55" w:rsidRDefault="009A43C6" w:rsidP="00B67910">
      <w:pPr>
        <w:pBdr>
          <w:bottom w:val="single" w:sz="4" w:space="1" w:color="auto"/>
        </w:pBdr>
        <w:jc w:val="center"/>
        <w:rPr>
          <w:rFonts w:ascii="Calibri" w:hAnsi="Calibri" w:cs="Calibri"/>
          <w:b/>
          <w:caps/>
          <w:lang w:val="fr-FR"/>
        </w:rPr>
      </w:pPr>
    </w:p>
    <w:p w14:paraId="457E0A6A" w14:textId="63FF9AD6" w:rsidR="007B46FA" w:rsidRPr="007B2D55" w:rsidRDefault="009F1264" w:rsidP="00B67910">
      <w:pPr>
        <w:pBdr>
          <w:bottom w:val="single" w:sz="4" w:space="1" w:color="auto"/>
        </w:pBdr>
        <w:jc w:val="center"/>
        <w:rPr>
          <w:rFonts w:ascii="Calibri" w:hAnsi="Calibri" w:cs="Calibri"/>
          <w:lang w:val="fr-FR"/>
        </w:rPr>
      </w:pPr>
      <w:r w:rsidRPr="007B2D55">
        <w:rPr>
          <w:rFonts w:ascii="Calibri" w:hAnsi="Calibri" w:cs="Calibri"/>
          <w:lang w:val="fr-FR"/>
        </w:rPr>
        <w:fldChar w:fldCharType="begin"/>
      </w:r>
      <w:r w:rsidRPr="007B2D55">
        <w:rPr>
          <w:rFonts w:ascii="Calibri" w:hAnsi="Calibri" w:cs="Calibri"/>
          <w:lang w:val="fr-FR"/>
        </w:rPr>
        <w:instrText xml:space="preserve"> TIME \@ "d MMMM yyyy" </w:instrText>
      </w:r>
      <w:r w:rsidRPr="007B2D55">
        <w:rPr>
          <w:rFonts w:ascii="Calibri" w:hAnsi="Calibri" w:cs="Calibri"/>
          <w:lang w:val="fr-FR"/>
        </w:rPr>
        <w:fldChar w:fldCharType="separate"/>
      </w:r>
      <w:r w:rsidR="00EE3FAC">
        <w:rPr>
          <w:rFonts w:ascii="Calibri" w:hAnsi="Calibri" w:cs="Calibri"/>
          <w:noProof/>
          <w:lang w:val="fr-FR"/>
        </w:rPr>
        <w:t>21 juin 2021</w:t>
      </w:r>
      <w:r w:rsidRPr="007B2D55">
        <w:rPr>
          <w:rFonts w:ascii="Calibri" w:hAnsi="Calibri" w:cs="Calibri"/>
          <w:lang w:val="fr-FR"/>
        </w:rPr>
        <w:fldChar w:fldCharType="end"/>
      </w:r>
    </w:p>
    <w:p w14:paraId="3AE7E2B7" w14:textId="77777777" w:rsidR="00143E13" w:rsidRPr="007B2D55" w:rsidRDefault="00143E13" w:rsidP="00143E13">
      <w:pPr>
        <w:pBdr>
          <w:bottom w:val="single" w:sz="4" w:space="1" w:color="auto"/>
        </w:pBdr>
        <w:rPr>
          <w:rFonts w:ascii="Calibri" w:hAnsi="Calibri" w:cs="Calibri"/>
          <w:b/>
          <w:caps/>
          <w:lang w:val="fr-FR"/>
        </w:rPr>
      </w:pPr>
    </w:p>
    <w:p w14:paraId="4E625021" w14:textId="77777777" w:rsidR="00B67910" w:rsidRPr="007B2D55" w:rsidRDefault="00EC63FF" w:rsidP="00B67910">
      <w:pPr>
        <w:pBdr>
          <w:bottom w:val="single" w:sz="4" w:space="1" w:color="auto"/>
        </w:pBdr>
        <w:rPr>
          <w:b/>
          <w:bCs/>
          <w:lang w:val="fr-FR"/>
        </w:rPr>
      </w:pPr>
      <w:r w:rsidRPr="007B2D55">
        <w:rPr>
          <w:b/>
          <w:bCs/>
          <w:caps/>
          <w:lang w:val="fr-FR"/>
        </w:rPr>
        <w:t>contexte</w:t>
      </w:r>
    </w:p>
    <w:p w14:paraId="2CA8E27F" w14:textId="48F08299" w:rsidR="00EC63FF" w:rsidRPr="007B2D55" w:rsidRDefault="009E33F7" w:rsidP="005B5B9E">
      <w:pPr>
        <w:jc w:val="both"/>
        <w:rPr>
          <w:rFonts w:ascii="Calibri" w:hAnsi="Calibri" w:cs="Calibri"/>
          <w:lang w:val="fr-FR"/>
        </w:rPr>
      </w:pPr>
      <w:r w:rsidRPr="007B2D55">
        <w:rPr>
          <w:rFonts w:ascii="Calibri" w:hAnsi="Calibri" w:cs="Calibri"/>
          <w:lang w:val="fr-FR"/>
        </w:rPr>
        <w:t>D</w:t>
      </w:r>
      <w:r w:rsidR="0014276F" w:rsidRPr="007B2D55">
        <w:rPr>
          <w:rFonts w:ascii="Calibri" w:hAnsi="Calibri" w:cs="Calibri"/>
          <w:lang w:val="fr-FR"/>
        </w:rPr>
        <w:t>ans le cadre du p</w:t>
      </w:r>
      <w:r w:rsidR="00EC63FF" w:rsidRPr="007B2D55">
        <w:rPr>
          <w:rFonts w:ascii="Calibri" w:hAnsi="Calibri" w:cs="Calibri"/>
          <w:lang w:val="fr-FR"/>
        </w:rPr>
        <w:t xml:space="preserve">artenariat signé entre la Fondation Bill &amp; Melinda Gates </w:t>
      </w:r>
      <w:r w:rsidR="0014276F" w:rsidRPr="007B2D55">
        <w:rPr>
          <w:rFonts w:ascii="Calibri" w:hAnsi="Calibri" w:cs="Calibri"/>
          <w:lang w:val="fr-FR"/>
        </w:rPr>
        <w:t xml:space="preserve">(BMGF) </w:t>
      </w:r>
      <w:r w:rsidR="00EC63FF" w:rsidRPr="007B2D55">
        <w:rPr>
          <w:rFonts w:ascii="Calibri" w:hAnsi="Calibri" w:cs="Calibri"/>
          <w:lang w:val="fr-FR"/>
        </w:rPr>
        <w:t>et l’A</w:t>
      </w:r>
      <w:r w:rsidR="0014276F" w:rsidRPr="007B2D55">
        <w:rPr>
          <w:rFonts w:ascii="Calibri" w:hAnsi="Calibri" w:cs="Calibri"/>
          <w:lang w:val="fr-FR"/>
        </w:rPr>
        <w:t xml:space="preserve">ssociation </w:t>
      </w:r>
      <w:r w:rsidR="00EC63FF" w:rsidRPr="007B2D55">
        <w:rPr>
          <w:rFonts w:ascii="Calibri" w:hAnsi="Calibri" w:cs="Calibri"/>
          <w:lang w:val="fr-FR"/>
        </w:rPr>
        <w:t>I</w:t>
      </w:r>
      <w:r w:rsidR="0014276F" w:rsidRPr="007B2D55">
        <w:rPr>
          <w:rFonts w:ascii="Calibri" w:hAnsi="Calibri" w:cs="Calibri"/>
          <w:lang w:val="fr-FR"/>
        </w:rPr>
        <w:t xml:space="preserve">nternationale de </w:t>
      </w:r>
      <w:r w:rsidR="00EC63FF" w:rsidRPr="007B2D55">
        <w:rPr>
          <w:rFonts w:ascii="Calibri" w:hAnsi="Calibri" w:cs="Calibri"/>
          <w:lang w:val="fr-FR"/>
        </w:rPr>
        <w:t>M</w:t>
      </w:r>
      <w:r w:rsidR="0014276F" w:rsidRPr="007B2D55">
        <w:rPr>
          <w:rFonts w:ascii="Calibri" w:hAnsi="Calibri" w:cs="Calibri"/>
          <w:lang w:val="fr-FR"/>
        </w:rPr>
        <w:t xml:space="preserve">aires </w:t>
      </w:r>
      <w:r w:rsidR="00EC63FF" w:rsidRPr="007B2D55">
        <w:rPr>
          <w:rFonts w:ascii="Calibri" w:hAnsi="Calibri" w:cs="Calibri"/>
          <w:lang w:val="fr-FR"/>
        </w:rPr>
        <w:t>F</w:t>
      </w:r>
      <w:r w:rsidR="0014276F" w:rsidRPr="007B2D55">
        <w:rPr>
          <w:rFonts w:ascii="Calibri" w:hAnsi="Calibri" w:cs="Calibri"/>
          <w:lang w:val="fr-FR"/>
        </w:rPr>
        <w:t>rancophones (A</w:t>
      </w:r>
      <w:r w:rsidR="00486D04" w:rsidRPr="007B2D55">
        <w:rPr>
          <w:rFonts w:ascii="Calibri" w:hAnsi="Calibri" w:cs="Calibri"/>
          <w:lang w:val="fr-FR"/>
        </w:rPr>
        <w:t>I</w:t>
      </w:r>
      <w:r w:rsidR="0014276F" w:rsidRPr="007B2D55">
        <w:rPr>
          <w:rFonts w:ascii="Calibri" w:hAnsi="Calibri" w:cs="Calibri"/>
          <w:lang w:val="fr-FR"/>
        </w:rPr>
        <w:t xml:space="preserve">MF) </w:t>
      </w:r>
      <w:r w:rsidR="00EC63FF" w:rsidRPr="007B2D55">
        <w:rPr>
          <w:rFonts w:ascii="Calibri" w:hAnsi="Calibri" w:cs="Calibri"/>
          <w:lang w:val="fr-FR"/>
        </w:rPr>
        <w:t>pour la mise en œuvre d</w:t>
      </w:r>
      <w:r w:rsidR="0014276F" w:rsidRPr="007B2D55">
        <w:rPr>
          <w:rFonts w:ascii="Calibri" w:hAnsi="Calibri" w:cs="Calibri"/>
          <w:lang w:val="fr-FR"/>
        </w:rPr>
        <w:t xml:space="preserve">u programme </w:t>
      </w:r>
      <w:r w:rsidR="00486D04" w:rsidRPr="007B2D55">
        <w:rPr>
          <w:rFonts w:ascii="Calibri" w:hAnsi="Calibri" w:cs="Calibri"/>
          <w:lang w:val="fr-FR"/>
        </w:rPr>
        <w:t>Initiative pour la Santé et la Salubrité en Ville (</w:t>
      </w:r>
      <w:r w:rsidR="00EC63FF" w:rsidRPr="007B2D55">
        <w:rPr>
          <w:rFonts w:ascii="Calibri" w:hAnsi="Calibri" w:cs="Calibri"/>
          <w:lang w:val="fr-FR"/>
        </w:rPr>
        <w:t>ISSV</w:t>
      </w:r>
      <w:r w:rsidR="00486D04" w:rsidRPr="007B2D55">
        <w:rPr>
          <w:rFonts w:ascii="Calibri" w:hAnsi="Calibri" w:cs="Calibri"/>
          <w:lang w:val="fr-FR"/>
        </w:rPr>
        <w:t>)</w:t>
      </w:r>
      <w:r w:rsidR="00EC63FF" w:rsidRPr="007B2D55">
        <w:rPr>
          <w:rFonts w:ascii="Calibri" w:hAnsi="Calibri" w:cs="Calibri"/>
          <w:lang w:val="fr-FR"/>
        </w:rPr>
        <w:t xml:space="preserve">, la ville de </w:t>
      </w:r>
      <w:r w:rsidR="00551395">
        <w:rPr>
          <w:rFonts w:ascii="Calibri" w:hAnsi="Calibri" w:cs="Calibri"/>
          <w:lang w:val="fr-FR"/>
        </w:rPr>
        <w:t>Nouakchott</w:t>
      </w:r>
      <w:r w:rsidR="00EC63FF" w:rsidRPr="007B2D55">
        <w:rPr>
          <w:rFonts w:ascii="Calibri" w:hAnsi="Calibri" w:cs="Calibri"/>
          <w:lang w:val="fr-FR"/>
        </w:rPr>
        <w:t>, membre de l’AIMF, a été sélectionnée comme ville pilote pour le volet assainissement.</w:t>
      </w:r>
      <w:r w:rsidR="00551395">
        <w:rPr>
          <w:rFonts w:ascii="Calibri" w:hAnsi="Calibri" w:cs="Calibri"/>
          <w:lang w:val="fr-FR"/>
        </w:rPr>
        <w:t xml:space="preserve"> L’AIMF s’est également associée à la ville de Lausanne, partenaire historique de la ville de Nouakchott, afin d’unir les forces en présence et offrir le meilleur appui possible.</w:t>
      </w:r>
    </w:p>
    <w:p w14:paraId="3E9710F5" w14:textId="60773A9A" w:rsidR="009E33F7" w:rsidRPr="007B2D55" w:rsidRDefault="009E33F7" w:rsidP="005B5B9E">
      <w:pPr>
        <w:jc w:val="both"/>
        <w:rPr>
          <w:rFonts w:ascii="Calibri" w:hAnsi="Calibri" w:cs="Calibri"/>
          <w:lang w:val="fr-FR"/>
        </w:rPr>
      </w:pPr>
      <w:r w:rsidRPr="007B2D55">
        <w:rPr>
          <w:rFonts w:ascii="Calibri" w:hAnsi="Calibri" w:cs="Calibri"/>
          <w:lang w:val="fr-FR"/>
        </w:rPr>
        <w:t>La ville a fait l’objet</w:t>
      </w:r>
      <w:r w:rsidR="003D11F6" w:rsidRPr="007B2D55">
        <w:rPr>
          <w:rFonts w:ascii="Calibri" w:hAnsi="Calibri" w:cs="Calibri"/>
          <w:lang w:val="fr-FR"/>
        </w:rPr>
        <w:t xml:space="preserve"> </w:t>
      </w:r>
      <w:r w:rsidRPr="007B2D55">
        <w:rPr>
          <w:rFonts w:ascii="Calibri" w:hAnsi="Calibri" w:cs="Calibri"/>
          <w:lang w:val="fr-FR"/>
        </w:rPr>
        <w:t xml:space="preserve">d’une première évaluation de sa situation </w:t>
      </w:r>
      <w:r w:rsidR="003D11F6" w:rsidRPr="007B2D55">
        <w:rPr>
          <w:rFonts w:ascii="Calibri" w:hAnsi="Calibri" w:cs="Calibri"/>
          <w:lang w:val="fr-FR"/>
        </w:rPr>
        <w:t xml:space="preserve">menée par </w:t>
      </w:r>
      <w:r w:rsidR="00551395">
        <w:rPr>
          <w:rFonts w:ascii="Calibri" w:hAnsi="Calibri" w:cs="Calibri"/>
          <w:lang w:val="fr-FR"/>
        </w:rPr>
        <w:t>SIA</w:t>
      </w:r>
      <w:r w:rsidR="003D11F6" w:rsidRPr="007B2D55">
        <w:rPr>
          <w:rFonts w:ascii="Calibri" w:hAnsi="Calibri" w:cs="Calibri"/>
          <w:lang w:val="fr-FR"/>
        </w:rPr>
        <w:t xml:space="preserve"> en </w:t>
      </w:r>
      <w:r w:rsidR="00C21F8A" w:rsidRPr="007B2D55">
        <w:rPr>
          <w:rFonts w:ascii="Calibri" w:hAnsi="Calibri" w:cs="Calibri"/>
          <w:lang w:val="fr-FR"/>
        </w:rPr>
        <w:t>septembre et octobre 2020</w:t>
      </w:r>
      <w:r w:rsidRPr="007B2D55">
        <w:rPr>
          <w:rFonts w:ascii="Calibri" w:hAnsi="Calibri" w:cs="Calibri"/>
          <w:lang w:val="fr-FR"/>
        </w:rPr>
        <w:t xml:space="preserve">. </w:t>
      </w:r>
      <w:r w:rsidR="00551395">
        <w:rPr>
          <w:rFonts w:ascii="Calibri" w:hAnsi="Calibri" w:cs="Calibri"/>
          <w:lang w:val="fr-FR"/>
        </w:rPr>
        <w:t>L’analyse a été renforcée après une visite de terrain de l’AT du programme en avril 2021.</w:t>
      </w:r>
    </w:p>
    <w:p w14:paraId="7C242DD0" w14:textId="6B9E7CA0" w:rsidR="006312DE" w:rsidRPr="007B2D55" w:rsidRDefault="00C21F8A" w:rsidP="005B5B9E">
      <w:pPr>
        <w:jc w:val="both"/>
        <w:rPr>
          <w:rFonts w:ascii="Calibri" w:hAnsi="Calibri" w:cs="Calibri"/>
          <w:lang w:val="fr-FR"/>
        </w:rPr>
      </w:pPr>
      <w:r w:rsidRPr="007B2D55">
        <w:rPr>
          <w:rFonts w:ascii="Calibri" w:hAnsi="Calibri" w:cs="Calibri"/>
          <w:lang w:val="fr-FR"/>
        </w:rPr>
        <w:t xml:space="preserve">Cette évaluation a permis de définir les besoins et orientations majeures pour un développement pérenne des services d’assainissement et de gestion des boues dans la ville. Elle a notamment permis d’identifier les activités clés à réaliser dans l’immédiat pour compléter l’information existante et permettre </w:t>
      </w:r>
      <w:r w:rsidR="00551395">
        <w:rPr>
          <w:rFonts w:ascii="Calibri" w:hAnsi="Calibri" w:cs="Calibri"/>
          <w:lang w:val="fr-FR"/>
        </w:rPr>
        <w:t>un</w:t>
      </w:r>
      <w:r w:rsidRPr="007B2D55">
        <w:rPr>
          <w:rFonts w:ascii="Calibri" w:hAnsi="Calibri" w:cs="Calibri"/>
          <w:lang w:val="fr-FR"/>
        </w:rPr>
        <w:t xml:space="preserve"> développement </w:t>
      </w:r>
      <w:r w:rsidR="00551395">
        <w:rPr>
          <w:rFonts w:ascii="Calibri" w:hAnsi="Calibri" w:cs="Calibri"/>
          <w:lang w:val="fr-FR"/>
        </w:rPr>
        <w:t>des services</w:t>
      </w:r>
      <w:r w:rsidRPr="007B2D55">
        <w:rPr>
          <w:rFonts w:ascii="Calibri" w:hAnsi="Calibri" w:cs="Calibri"/>
          <w:lang w:val="fr-FR"/>
        </w:rPr>
        <w:t xml:space="preserve"> durable.</w:t>
      </w:r>
    </w:p>
    <w:p w14:paraId="0BA400D5" w14:textId="77777777" w:rsidR="00931D7B" w:rsidRPr="007B2D55" w:rsidRDefault="00931D7B" w:rsidP="00B67910">
      <w:pPr>
        <w:pBdr>
          <w:bottom w:val="single" w:sz="4" w:space="1" w:color="auto"/>
        </w:pBdr>
        <w:rPr>
          <w:b/>
          <w:bCs/>
          <w:caps/>
          <w:lang w:val="fr-FR"/>
        </w:rPr>
      </w:pPr>
    </w:p>
    <w:p w14:paraId="20C46AF2" w14:textId="51E65050" w:rsidR="00B67910" w:rsidRPr="007B2D55" w:rsidRDefault="00B67910" w:rsidP="00B67910">
      <w:pPr>
        <w:pBdr>
          <w:bottom w:val="single" w:sz="4" w:space="1" w:color="auto"/>
        </w:pBdr>
        <w:rPr>
          <w:b/>
          <w:bCs/>
          <w:caps/>
          <w:lang w:val="fr-FR"/>
        </w:rPr>
      </w:pPr>
      <w:r w:rsidRPr="007B2D55">
        <w:rPr>
          <w:b/>
          <w:bCs/>
          <w:caps/>
          <w:lang w:val="fr-FR"/>
        </w:rPr>
        <w:t>mission d</w:t>
      </w:r>
      <w:r w:rsidR="007B46FA" w:rsidRPr="007B2D55">
        <w:rPr>
          <w:b/>
          <w:bCs/>
          <w:caps/>
          <w:lang w:val="fr-FR"/>
        </w:rPr>
        <w:t>u consultant</w:t>
      </w:r>
    </w:p>
    <w:p w14:paraId="2AE26447" w14:textId="065C327D" w:rsidR="00B35672" w:rsidRPr="007B2D55" w:rsidRDefault="000B761B" w:rsidP="006F0C07">
      <w:pPr>
        <w:jc w:val="both"/>
        <w:rPr>
          <w:lang w:val="fr-FR"/>
        </w:rPr>
      </w:pPr>
      <w:r w:rsidRPr="007B2D55">
        <w:rPr>
          <w:lang w:val="fr-FR"/>
        </w:rPr>
        <w:t xml:space="preserve">La mission du </w:t>
      </w:r>
      <w:r w:rsidR="00143E13" w:rsidRPr="007B2D55">
        <w:rPr>
          <w:lang w:val="fr-FR"/>
        </w:rPr>
        <w:t>C</w:t>
      </w:r>
      <w:r w:rsidRPr="007B2D55">
        <w:rPr>
          <w:lang w:val="fr-FR"/>
        </w:rPr>
        <w:t>onsultant est d</w:t>
      </w:r>
      <w:r w:rsidR="0030546D" w:rsidRPr="007B2D55">
        <w:rPr>
          <w:lang w:val="fr-FR"/>
        </w:rPr>
        <w:t xml:space="preserve">e compléter les informations existantes </w:t>
      </w:r>
      <w:r w:rsidR="00B35672" w:rsidRPr="007B2D55">
        <w:rPr>
          <w:lang w:val="fr-FR"/>
        </w:rPr>
        <w:t>afin de disposer de données de base solides pour un développement phasé et durable des services répondant aux exigences locales.</w:t>
      </w:r>
      <w:r w:rsidR="0023401C" w:rsidRPr="007B2D55">
        <w:rPr>
          <w:lang w:val="fr-FR"/>
        </w:rPr>
        <w:t xml:space="preserve"> Ces données</w:t>
      </w:r>
      <w:r w:rsidR="002A76B6">
        <w:rPr>
          <w:lang w:val="fr-FR"/>
        </w:rPr>
        <w:t xml:space="preserve"> pourront</w:t>
      </w:r>
      <w:r w:rsidR="0023401C" w:rsidRPr="007B2D55">
        <w:rPr>
          <w:lang w:val="fr-FR"/>
        </w:rPr>
        <w:t xml:space="preserve"> </w:t>
      </w:r>
      <w:r w:rsidR="007B2D55" w:rsidRPr="007B2D55">
        <w:rPr>
          <w:lang w:val="fr-FR"/>
        </w:rPr>
        <w:t>appu</w:t>
      </w:r>
      <w:r w:rsidR="002A76B6">
        <w:rPr>
          <w:lang w:val="fr-FR"/>
        </w:rPr>
        <w:t>yer</w:t>
      </w:r>
      <w:r w:rsidR="0023401C" w:rsidRPr="007B2D55">
        <w:rPr>
          <w:lang w:val="fr-FR"/>
        </w:rPr>
        <w:t xml:space="preserve"> le développement d’une stratégie </w:t>
      </w:r>
      <w:r w:rsidR="006F0C07">
        <w:rPr>
          <w:lang w:val="fr-FR"/>
        </w:rPr>
        <w:t>r</w:t>
      </w:r>
      <w:r w:rsidR="008044BD">
        <w:rPr>
          <w:lang w:val="fr-FR"/>
        </w:rPr>
        <w:t>é</w:t>
      </w:r>
      <w:r w:rsidR="006F0C07">
        <w:rPr>
          <w:lang w:val="fr-FR"/>
        </w:rPr>
        <w:t>gionale</w:t>
      </w:r>
      <w:r w:rsidR="006F0C07" w:rsidRPr="007B2D55">
        <w:rPr>
          <w:lang w:val="fr-FR"/>
        </w:rPr>
        <w:t xml:space="preserve"> </w:t>
      </w:r>
      <w:r w:rsidR="0023401C" w:rsidRPr="007B2D55">
        <w:rPr>
          <w:lang w:val="fr-FR"/>
        </w:rPr>
        <w:t>de gestion des boues de vidange.</w:t>
      </w:r>
      <w:r w:rsidR="00602E6B" w:rsidRPr="007B2D55">
        <w:rPr>
          <w:lang w:val="fr-FR"/>
        </w:rPr>
        <w:t xml:space="preserve"> Cette analyse complémentaire comprend </w:t>
      </w:r>
      <w:r w:rsidR="004E56D9">
        <w:rPr>
          <w:lang w:val="fr-FR"/>
        </w:rPr>
        <w:t>une enquête socio-</w:t>
      </w:r>
      <w:r w:rsidR="00E53893">
        <w:rPr>
          <w:lang w:val="fr-FR"/>
        </w:rPr>
        <w:t>économique</w:t>
      </w:r>
      <w:r w:rsidR="00E53893" w:rsidRPr="007B2D55">
        <w:rPr>
          <w:lang w:val="fr-FR"/>
        </w:rPr>
        <w:t xml:space="preserve"> :</w:t>
      </w:r>
    </w:p>
    <w:p w14:paraId="30DB9FE0" w14:textId="06AC771A" w:rsidR="00602E6B" w:rsidRPr="007B2D55" w:rsidRDefault="00602E6B" w:rsidP="00DA7F71">
      <w:pPr>
        <w:pStyle w:val="puce1"/>
        <w:jc w:val="both"/>
        <w:rPr>
          <w:lang w:val="fr-FR"/>
        </w:rPr>
      </w:pPr>
      <w:r w:rsidRPr="007B2D55">
        <w:rPr>
          <w:lang w:val="fr-FR"/>
        </w:rPr>
        <w:t>Une compréhension des pratiques au niveau des ménages</w:t>
      </w:r>
      <w:r w:rsidR="00DA7F71" w:rsidRPr="007B2D55">
        <w:rPr>
          <w:lang w:val="fr-FR"/>
        </w:rPr>
        <w:t xml:space="preserve"> via la réalisation d’une enquête auprès des ménages et visites de leurs dispositifs d’assainissement</w:t>
      </w:r>
      <w:r w:rsidR="002A76B6">
        <w:rPr>
          <w:rStyle w:val="FootnoteReference"/>
          <w:lang w:val="fr-FR"/>
        </w:rPr>
        <w:footnoteReference w:id="1"/>
      </w:r>
      <w:r w:rsidR="00DA7F71" w:rsidRPr="007B2D55">
        <w:rPr>
          <w:lang w:val="fr-FR"/>
        </w:rPr>
        <w:t xml:space="preserve"> </w:t>
      </w:r>
      <w:r w:rsidRPr="007B2D55">
        <w:rPr>
          <w:lang w:val="fr-FR"/>
        </w:rPr>
        <w:t xml:space="preserve">(accès et type d’ouvrage </w:t>
      </w:r>
      <w:r w:rsidRPr="007B2D55">
        <w:rPr>
          <w:lang w:val="fr-FR"/>
        </w:rPr>
        <w:lastRenderedPageBreak/>
        <w:t xml:space="preserve">d’assainissement, </w:t>
      </w:r>
      <w:r w:rsidR="0023401C" w:rsidRPr="007B2D55">
        <w:rPr>
          <w:lang w:val="fr-FR"/>
        </w:rPr>
        <w:t>type d’habitat,</w:t>
      </w:r>
      <w:r w:rsidR="00AA09B7" w:rsidRPr="007B2D55">
        <w:rPr>
          <w:lang w:val="fr-FR"/>
        </w:rPr>
        <w:t xml:space="preserve"> niveau de richesse,</w:t>
      </w:r>
      <w:r w:rsidR="0023401C" w:rsidRPr="007B2D55">
        <w:rPr>
          <w:lang w:val="fr-FR"/>
        </w:rPr>
        <w:t xml:space="preserve"> </w:t>
      </w:r>
      <w:r w:rsidRPr="007B2D55">
        <w:rPr>
          <w:lang w:val="fr-FR"/>
        </w:rPr>
        <w:t>pratiques, facteurs déclenchant la vidange, type de vidange,</w:t>
      </w:r>
      <w:r w:rsidR="00AA09B7" w:rsidRPr="007B2D55">
        <w:rPr>
          <w:lang w:val="fr-FR"/>
        </w:rPr>
        <w:t xml:space="preserve"> coût des services,</w:t>
      </w:r>
      <w:r w:rsidRPr="007B2D55">
        <w:rPr>
          <w:lang w:val="fr-FR"/>
        </w:rPr>
        <w:t xml:space="preserve"> dépenses en assainissement</w:t>
      </w:r>
      <w:r w:rsidR="0023401C" w:rsidRPr="007B2D55">
        <w:rPr>
          <w:lang w:val="fr-FR"/>
        </w:rPr>
        <w:t>, besoins, contraintes, attentes</w:t>
      </w:r>
      <w:r w:rsidR="00DA7F71" w:rsidRPr="007B2D55">
        <w:rPr>
          <w:lang w:val="fr-FR"/>
        </w:rPr>
        <w:t>, perception des services, les messages auxquels ils pourraient être sensibles, leur consentement et capacité à payer les services)</w:t>
      </w:r>
      <w:r w:rsidR="00AA09B7" w:rsidRPr="007B2D55">
        <w:rPr>
          <w:lang w:val="fr-FR"/>
        </w:rPr>
        <w:t>. Une attention sera apportée à la gestion des eaux grises et les pratiques d’hygiène.</w:t>
      </w:r>
    </w:p>
    <w:p w14:paraId="143E3EE3" w14:textId="7AD39EF3" w:rsidR="0023401C" w:rsidRPr="007B2D55" w:rsidRDefault="0023401C" w:rsidP="00DA7F71">
      <w:pPr>
        <w:pStyle w:val="puce1"/>
        <w:jc w:val="both"/>
        <w:rPr>
          <w:lang w:val="fr-FR"/>
        </w:rPr>
      </w:pPr>
      <w:r w:rsidRPr="007B2D55">
        <w:rPr>
          <w:lang w:val="fr-FR"/>
        </w:rPr>
        <w:t xml:space="preserve">Un zonage de la ville </w:t>
      </w:r>
      <w:r w:rsidR="00F04D4C" w:rsidRPr="007B2D55">
        <w:rPr>
          <w:lang w:val="fr-FR"/>
        </w:rPr>
        <w:t>avec localisation et quantification des besoins des habitants en latrines et en vidange. Ce zonage se fera dans l’optique d’un</w:t>
      </w:r>
      <w:r w:rsidRPr="007B2D55">
        <w:rPr>
          <w:lang w:val="fr-FR"/>
        </w:rPr>
        <w:t xml:space="preserve"> développement et distribution de services d’assainissement adaptés</w:t>
      </w:r>
      <w:r w:rsidR="00F04D4C" w:rsidRPr="007B2D55">
        <w:rPr>
          <w:lang w:val="fr-FR"/>
        </w:rPr>
        <w:t>. Le zonage pourra dans la mesure du possible être enrichi des critères suivants :</w:t>
      </w:r>
      <w:r w:rsidRPr="007B2D55">
        <w:rPr>
          <w:lang w:val="fr-FR"/>
        </w:rPr>
        <w:t xml:space="preserve"> accessibilité des quartiers, type de </w:t>
      </w:r>
      <w:r w:rsidR="00AA09B7" w:rsidRPr="007B2D55">
        <w:rPr>
          <w:lang w:val="fr-FR"/>
        </w:rPr>
        <w:t xml:space="preserve">voirie, </w:t>
      </w:r>
      <w:r w:rsidR="007B2D55" w:rsidRPr="007B2D55">
        <w:rPr>
          <w:lang w:val="fr-FR"/>
        </w:rPr>
        <w:t>trafic</w:t>
      </w:r>
      <w:r w:rsidR="00AA09B7" w:rsidRPr="007B2D55">
        <w:rPr>
          <w:lang w:val="fr-FR"/>
        </w:rPr>
        <w:t xml:space="preserve">, topographie, densification et type d’habitat, accès à l’eau. Le consultant devra </w:t>
      </w:r>
      <w:r w:rsidR="00ED3028" w:rsidRPr="007B2D55">
        <w:rPr>
          <w:lang w:val="fr-FR"/>
        </w:rPr>
        <w:t>s’appuyer sur</w:t>
      </w:r>
      <w:r w:rsidR="00AA09B7" w:rsidRPr="007B2D55">
        <w:rPr>
          <w:lang w:val="fr-FR"/>
        </w:rPr>
        <w:t xml:space="preserve"> les cartes et SIG existants afin de renforcer l’analyse.</w:t>
      </w:r>
    </w:p>
    <w:p w14:paraId="1244A980" w14:textId="6903867C" w:rsidR="00F04D4C" w:rsidRPr="007B2D55" w:rsidRDefault="00F04D4C" w:rsidP="00DA7F71">
      <w:pPr>
        <w:pStyle w:val="puce1"/>
        <w:jc w:val="both"/>
        <w:rPr>
          <w:lang w:val="fr-FR"/>
        </w:rPr>
      </w:pPr>
      <w:r w:rsidRPr="007B2D55">
        <w:rPr>
          <w:lang w:val="fr-FR"/>
        </w:rPr>
        <w:t>Localisation des toilettes publiques</w:t>
      </w:r>
      <w:r w:rsidR="00143E13" w:rsidRPr="007B2D55">
        <w:rPr>
          <w:lang w:val="fr-FR"/>
        </w:rPr>
        <w:t xml:space="preserve"> </w:t>
      </w:r>
      <w:r w:rsidRPr="007B2D55">
        <w:rPr>
          <w:lang w:val="fr-FR"/>
        </w:rPr>
        <w:t xml:space="preserve">et sites de traitement/dépotage </w:t>
      </w:r>
      <w:r w:rsidR="00143E13" w:rsidRPr="007B2D55">
        <w:rPr>
          <w:lang w:val="fr-FR"/>
        </w:rPr>
        <w:t>devront</w:t>
      </w:r>
      <w:r w:rsidRPr="007B2D55">
        <w:rPr>
          <w:lang w:val="fr-FR"/>
        </w:rPr>
        <w:t xml:space="preserve"> être indiqués sur les cartes </w:t>
      </w:r>
      <w:r w:rsidR="006D1B60" w:rsidRPr="007B2D55">
        <w:rPr>
          <w:lang w:val="fr-FR"/>
        </w:rPr>
        <w:t>de comportement et service.</w:t>
      </w:r>
      <w:r w:rsidR="00222D51">
        <w:rPr>
          <w:lang w:val="fr-FR"/>
        </w:rPr>
        <w:t xml:space="preserve"> Le consultant devra </w:t>
      </w:r>
      <w:r w:rsidR="008044BD">
        <w:rPr>
          <w:lang w:val="fr-FR"/>
        </w:rPr>
        <w:t>informer</w:t>
      </w:r>
      <w:r w:rsidR="00222D51">
        <w:rPr>
          <w:lang w:val="fr-FR"/>
        </w:rPr>
        <w:t xml:space="preserve"> </w:t>
      </w:r>
      <w:r w:rsidR="00775BCD">
        <w:rPr>
          <w:lang w:val="fr-FR"/>
        </w:rPr>
        <w:t>sur le niveau de service des toilettes publiques (nombre de cabines et genre, type et état des ouvrages, propriétaire/gestionnaire, niveau de salubrité).</w:t>
      </w:r>
    </w:p>
    <w:p w14:paraId="696B411E" w14:textId="693C343E" w:rsidR="00AA09B7" w:rsidRPr="007B2D55" w:rsidRDefault="00ED3028" w:rsidP="00DA7F71">
      <w:pPr>
        <w:pStyle w:val="puce1"/>
        <w:jc w:val="both"/>
        <w:rPr>
          <w:lang w:val="fr-FR"/>
        </w:rPr>
      </w:pPr>
      <w:r w:rsidRPr="007B2D55">
        <w:rPr>
          <w:lang w:val="fr-FR"/>
        </w:rPr>
        <w:t xml:space="preserve">L’analyse </w:t>
      </w:r>
      <w:r w:rsidR="00143E13" w:rsidRPr="007B2D55">
        <w:rPr>
          <w:lang w:val="fr-FR"/>
        </w:rPr>
        <w:t>des résultats d</w:t>
      </w:r>
      <w:r w:rsidRPr="007B2D55">
        <w:rPr>
          <w:lang w:val="fr-FR"/>
        </w:rPr>
        <w:t>’enquête ménage devra déboucher sur l</w:t>
      </w:r>
      <w:r w:rsidR="00AA09B7" w:rsidRPr="007B2D55">
        <w:rPr>
          <w:lang w:val="fr-FR"/>
        </w:rPr>
        <w:t>’évaluation des volumes de boues produits et vidangés</w:t>
      </w:r>
      <w:r w:rsidRPr="007B2D55">
        <w:rPr>
          <w:lang w:val="fr-FR"/>
        </w:rPr>
        <w:t xml:space="preserve"> (volumes produits et vidangés, type de boues, saisonnalité, répartition par quartier (</w:t>
      </w:r>
      <w:r w:rsidR="008846CC">
        <w:rPr>
          <w:lang w:val="fr-FR"/>
        </w:rPr>
        <w:t>si pertinent</w:t>
      </w:r>
      <w:r w:rsidRPr="007B2D55">
        <w:rPr>
          <w:lang w:val="fr-FR"/>
        </w:rPr>
        <w:t xml:space="preserve">)). </w:t>
      </w:r>
    </w:p>
    <w:p w14:paraId="34E11753" w14:textId="126B67C2" w:rsidR="00303E75" w:rsidRPr="007B2D55" w:rsidRDefault="00303E75" w:rsidP="00303E75">
      <w:pPr>
        <w:jc w:val="both"/>
        <w:rPr>
          <w:lang w:val="fr-FR"/>
        </w:rPr>
      </w:pPr>
      <w:bookmarkStart w:id="0" w:name="_Hlk62649608"/>
      <w:r w:rsidRPr="007B2D55">
        <w:rPr>
          <w:lang w:val="fr-FR"/>
        </w:rPr>
        <w:t>En particulier le consultant devra développer les outils et la méthodologie pour mener l’enquête (questionnaire, masque de saisie, traitement des données, la constitution de l’équipe d’enquête, sa formation et tests sur le terrain, la réalisation de l’enquête sous la supervision du consultant, la saisie et l’analyse des résultats de l’enquête).</w:t>
      </w:r>
      <w:r w:rsidR="00222D51">
        <w:rPr>
          <w:lang w:val="fr-FR"/>
        </w:rPr>
        <w:t xml:space="preserve"> </w:t>
      </w:r>
    </w:p>
    <w:p w14:paraId="67F4FC16" w14:textId="66D501E4" w:rsidR="006312DE" w:rsidRDefault="0002103D" w:rsidP="00B67910">
      <w:pPr>
        <w:jc w:val="both"/>
        <w:rPr>
          <w:lang w:val="fr-FR"/>
        </w:rPr>
      </w:pPr>
      <w:r w:rsidRPr="007B2D55">
        <w:rPr>
          <w:lang w:val="fr-FR"/>
        </w:rPr>
        <w:t xml:space="preserve">Il est attendu du consultant une consultation des acteurs </w:t>
      </w:r>
      <w:r w:rsidR="00080889" w:rsidRPr="007B2D55">
        <w:rPr>
          <w:lang w:val="fr-FR"/>
        </w:rPr>
        <w:t xml:space="preserve">de </w:t>
      </w:r>
      <w:r w:rsidRPr="007B2D55">
        <w:rPr>
          <w:lang w:val="fr-FR"/>
        </w:rPr>
        <w:t>la construction (entreprise, artisans maçon)</w:t>
      </w:r>
      <w:r w:rsidR="00143E13" w:rsidRPr="007B2D55">
        <w:rPr>
          <w:lang w:val="fr-FR"/>
        </w:rPr>
        <w:t xml:space="preserve"> pour corroborer certains résultats de l’enquête.</w:t>
      </w:r>
    </w:p>
    <w:p w14:paraId="295CD7F1" w14:textId="10C5FF95" w:rsidR="009745A2" w:rsidRDefault="004E56D9" w:rsidP="00B67910">
      <w:pPr>
        <w:jc w:val="both"/>
        <w:rPr>
          <w:lang w:val="fr-FR"/>
        </w:rPr>
      </w:pPr>
      <w:r>
        <w:rPr>
          <w:lang w:val="fr-FR"/>
        </w:rPr>
        <w:t>Le consultant devra caractériser les services de vidange présents à Nouakchott, que ce soit les services formels et informels. La caractérisation passe par l’identification et la consultation des différents opérateurs, l’évaluation de leurs capacités et de leur besoin, la description de leur pratique, la consultation des comptes d’exploitation (au minimum des opérateurs publiques). Le consultant aura la tâche d’évaluer la véracité des données partagées et d’apporter une analyse critique de ces données, en particulier sur l’estimation des flux financier et des volumes de boues vidangés.</w:t>
      </w:r>
      <w:r w:rsidR="00303E75">
        <w:rPr>
          <w:lang w:val="fr-FR"/>
        </w:rPr>
        <w:t xml:space="preserve"> Le Consultant devra faire ressortir les forces et les faiblesses du service.</w:t>
      </w:r>
    </w:p>
    <w:p w14:paraId="4DE271DA" w14:textId="16EAB566" w:rsidR="004E56D9" w:rsidRDefault="004E56D9" w:rsidP="00B67910">
      <w:pPr>
        <w:jc w:val="both"/>
        <w:rPr>
          <w:lang w:val="fr-FR"/>
        </w:rPr>
      </w:pPr>
      <w:r>
        <w:rPr>
          <w:lang w:val="fr-FR"/>
        </w:rPr>
        <w:t xml:space="preserve">Le consultant devra utiliser plusieurs méthodologies pour évaluer les flux de matière de vidange et proposer un phasage </w:t>
      </w:r>
      <w:r w:rsidR="00303E75">
        <w:rPr>
          <w:lang w:val="fr-FR"/>
        </w:rPr>
        <w:t xml:space="preserve">réaliste </w:t>
      </w:r>
      <w:r>
        <w:rPr>
          <w:lang w:val="fr-FR"/>
        </w:rPr>
        <w:t>du développement des services de vidange</w:t>
      </w:r>
      <w:r w:rsidR="00303E75">
        <w:rPr>
          <w:lang w:val="fr-FR"/>
        </w:rPr>
        <w:t xml:space="preserve"> et de traitement</w:t>
      </w:r>
      <w:r>
        <w:rPr>
          <w:lang w:val="fr-FR"/>
        </w:rPr>
        <w:t xml:space="preserve"> en fonction de l’estimation des volumes et de leur projection dans le temps.</w:t>
      </w:r>
    </w:p>
    <w:p w14:paraId="453DBB5C" w14:textId="01FFB813" w:rsidR="00303E75" w:rsidRDefault="00303E75" w:rsidP="00B67910">
      <w:pPr>
        <w:jc w:val="both"/>
        <w:rPr>
          <w:lang w:val="fr-FR"/>
        </w:rPr>
      </w:pPr>
      <w:r>
        <w:rPr>
          <w:lang w:val="fr-FR"/>
        </w:rPr>
        <w:t>Il est attendu de faire ressortir l’opinion des vidangeurs sur le développement et la professionnlisation des services de GBV : mise en place d’une réglementation, certification, tarif de dépotage, service de traitement, etc.</w:t>
      </w:r>
    </w:p>
    <w:p w14:paraId="4A45613B" w14:textId="2C460C99" w:rsidR="00A10B17" w:rsidRPr="007B2D55" w:rsidRDefault="00A10B17" w:rsidP="00B67910">
      <w:pPr>
        <w:jc w:val="both"/>
        <w:rPr>
          <w:lang w:val="fr-FR"/>
        </w:rPr>
      </w:pPr>
      <w:r>
        <w:rPr>
          <w:lang w:val="fr-FR"/>
        </w:rPr>
        <w:t xml:space="preserve">La dernière activité concerne l’appui à la Région de Nouakchott et aux communes pour l’identification de sites qui pourraient </w:t>
      </w:r>
      <w:r w:rsidR="009523D6">
        <w:rPr>
          <w:lang w:val="fr-FR"/>
        </w:rPr>
        <w:t>accueillir</w:t>
      </w:r>
      <w:r>
        <w:rPr>
          <w:lang w:val="fr-FR"/>
        </w:rPr>
        <w:t xml:space="preserve"> une station de traitement des BV. L’appui consiste en l’établissement des critères et indicateurs pour guider la RN dans l’identification des sites. Une fois les sites identifiés le consultant donnera son avis sur les plus pertinents (classification).</w:t>
      </w:r>
    </w:p>
    <w:bookmarkEnd w:id="0"/>
    <w:p w14:paraId="38416BE7" w14:textId="77777777" w:rsidR="00545045" w:rsidRDefault="00545045">
      <w:pPr>
        <w:rPr>
          <w:b/>
          <w:bCs/>
          <w:caps/>
          <w:lang w:val="fr-FR"/>
        </w:rPr>
      </w:pPr>
      <w:r>
        <w:rPr>
          <w:b/>
          <w:bCs/>
          <w:caps/>
          <w:lang w:val="fr-FR"/>
        </w:rPr>
        <w:br w:type="page"/>
      </w:r>
    </w:p>
    <w:p w14:paraId="3CFA8CCA" w14:textId="482E6E11" w:rsidR="003D3508" w:rsidRPr="007B2D55" w:rsidRDefault="003D3508" w:rsidP="003D3508">
      <w:pPr>
        <w:pBdr>
          <w:bottom w:val="single" w:sz="4" w:space="1" w:color="auto"/>
        </w:pBdr>
        <w:rPr>
          <w:b/>
          <w:bCs/>
          <w:caps/>
          <w:lang w:val="fr-FR"/>
        </w:rPr>
      </w:pPr>
      <w:r w:rsidRPr="007B2D55">
        <w:rPr>
          <w:b/>
          <w:bCs/>
          <w:caps/>
          <w:lang w:val="fr-FR"/>
        </w:rPr>
        <w:lastRenderedPageBreak/>
        <w:t>Resultats attendus</w:t>
      </w:r>
    </w:p>
    <w:p w14:paraId="51D81E58" w14:textId="4D50FECE" w:rsidR="00B35672" w:rsidRPr="007B2D55" w:rsidRDefault="00B35672" w:rsidP="008F65B0">
      <w:pPr>
        <w:jc w:val="both"/>
        <w:rPr>
          <w:lang w:val="fr-FR"/>
        </w:rPr>
      </w:pPr>
      <w:r w:rsidRPr="007B2D55">
        <w:rPr>
          <w:lang w:val="fr-FR"/>
        </w:rPr>
        <w:t>Le</w:t>
      </w:r>
      <w:r w:rsidR="001D6EEC">
        <w:rPr>
          <w:lang w:val="fr-FR"/>
        </w:rPr>
        <w:t>s</w:t>
      </w:r>
      <w:r w:rsidRPr="007B2D55">
        <w:rPr>
          <w:lang w:val="fr-FR"/>
        </w:rPr>
        <w:t xml:space="preserve"> livrable</w:t>
      </w:r>
      <w:r w:rsidR="001D6EEC">
        <w:rPr>
          <w:lang w:val="fr-FR"/>
        </w:rPr>
        <w:t>s</w:t>
      </w:r>
      <w:r w:rsidR="00F04D4C" w:rsidRPr="007B2D55">
        <w:rPr>
          <w:lang w:val="fr-FR"/>
        </w:rPr>
        <w:t xml:space="preserve"> devr</w:t>
      </w:r>
      <w:r w:rsidR="001D6EEC">
        <w:rPr>
          <w:lang w:val="fr-FR"/>
        </w:rPr>
        <w:t>ont</w:t>
      </w:r>
      <w:r w:rsidR="00F04D4C" w:rsidRPr="007B2D55">
        <w:rPr>
          <w:lang w:val="fr-FR"/>
        </w:rPr>
        <w:t xml:space="preserve"> être </w:t>
      </w:r>
      <w:r w:rsidR="001D6EEC">
        <w:rPr>
          <w:lang w:val="fr-FR"/>
        </w:rPr>
        <w:t xml:space="preserve">autant </w:t>
      </w:r>
      <w:r w:rsidR="00F04D4C" w:rsidRPr="007B2D55">
        <w:rPr>
          <w:lang w:val="fr-FR"/>
        </w:rPr>
        <w:t>concis</w:t>
      </w:r>
      <w:r w:rsidR="001D6EEC">
        <w:rPr>
          <w:lang w:val="fr-FR"/>
        </w:rPr>
        <w:t xml:space="preserve"> que possible</w:t>
      </w:r>
      <w:r w:rsidR="00F04D4C" w:rsidRPr="007B2D55">
        <w:rPr>
          <w:lang w:val="fr-FR"/>
        </w:rPr>
        <w:t>. Il</w:t>
      </w:r>
      <w:r w:rsidR="001D6EEC">
        <w:rPr>
          <w:lang w:val="fr-FR"/>
        </w:rPr>
        <w:t>s</w:t>
      </w:r>
      <w:r w:rsidRPr="007B2D55">
        <w:rPr>
          <w:lang w:val="fr-FR"/>
        </w:rPr>
        <w:t xml:space="preserve"> comprendr</w:t>
      </w:r>
      <w:r w:rsidR="001D6EEC">
        <w:rPr>
          <w:lang w:val="fr-FR"/>
        </w:rPr>
        <w:t>ont</w:t>
      </w:r>
      <w:r w:rsidRPr="007B2D55">
        <w:rPr>
          <w:lang w:val="fr-FR"/>
        </w:rPr>
        <w:t> :</w:t>
      </w:r>
    </w:p>
    <w:p w14:paraId="6F3EEF3D" w14:textId="681C2B75" w:rsidR="00B35672" w:rsidRPr="007B2D55" w:rsidRDefault="00B35672" w:rsidP="00B35672">
      <w:pPr>
        <w:pStyle w:val="puce1"/>
        <w:rPr>
          <w:lang w:val="fr-FR"/>
        </w:rPr>
      </w:pPr>
      <w:r w:rsidRPr="007B2D55">
        <w:rPr>
          <w:lang w:val="fr-FR"/>
        </w:rPr>
        <w:t>Le rapport d’analyse</w:t>
      </w:r>
      <w:r w:rsidR="001D6EEC">
        <w:rPr>
          <w:lang w:val="fr-FR"/>
        </w:rPr>
        <w:t xml:space="preserve"> socio-économique des services de GBV</w:t>
      </w:r>
      <w:r w:rsidRPr="007B2D55">
        <w:rPr>
          <w:lang w:val="fr-FR"/>
        </w:rPr>
        <w:t xml:space="preserve"> </w:t>
      </w:r>
    </w:p>
    <w:p w14:paraId="0888A7DE" w14:textId="5B790E94" w:rsidR="00B35672" w:rsidRPr="007B2D55" w:rsidRDefault="00B35672" w:rsidP="00134F5D">
      <w:pPr>
        <w:pStyle w:val="ListParagraph"/>
        <w:numPr>
          <w:ilvl w:val="0"/>
          <w:numId w:val="20"/>
        </w:numPr>
        <w:jc w:val="both"/>
        <w:rPr>
          <w:lang w:val="fr-FR"/>
        </w:rPr>
      </w:pPr>
      <w:r w:rsidRPr="007B2D55">
        <w:rPr>
          <w:lang w:val="fr-FR"/>
        </w:rPr>
        <w:t>Mettant en évidence les corrélations, en particulier entre la technologie d'assainissement au niveau des ménages, la classe sociale</w:t>
      </w:r>
      <w:r w:rsidR="00080889" w:rsidRPr="007B2D55">
        <w:rPr>
          <w:lang w:val="fr-FR"/>
        </w:rPr>
        <w:t xml:space="preserve"> et le niveau de richesse</w:t>
      </w:r>
      <w:r w:rsidRPr="007B2D55">
        <w:rPr>
          <w:lang w:val="fr-FR"/>
        </w:rPr>
        <w:t>, la localisation et le comportement pour la vidange</w:t>
      </w:r>
      <w:r w:rsidR="00080889" w:rsidRPr="007B2D55">
        <w:rPr>
          <w:lang w:val="fr-FR"/>
        </w:rPr>
        <w:t xml:space="preserve"> et type de service</w:t>
      </w:r>
      <w:r w:rsidRPr="007B2D55">
        <w:rPr>
          <w:lang w:val="fr-FR"/>
        </w:rPr>
        <w:t>, les problèmes rencontrés et potentiel de changement de comportement</w:t>
      </w:r>
    </w:p>
    <w:p w14:paraId="10161BE6" w14:textId="5D667412" w:rsidR="00080889" w:rsidRPr="007B2D55" w:rsidRDefault="00080889" w:rsidP="00080889">
      <w:pPr>
        <w:pStyle w:val="ListParagraph"/>
        <w:numPr>
          <w:ilvl w:val="0"/>
          <w:numId w:val="20"/>
        </w:numPr>
        <w:jc w:val="both"/>
        <w:rPr>
          <w:lang w:val="fr-FR"/>
        </w:rPr>
      </w:pPr>
      <w:r w:rsidRPr="007B2D55">
        <w:rPr>
          <w:lang w:val="fr-FR"/>
        </w:rPr>
        <w:t>Zonage de la ville</w:t>
      </w:r>
      <w:r w:rsidR="00602E6B" w:rsidRPr="007B2D55">
        <w:rPr>
          <w:lang w:val="fr-FR"/>
        </w:rPr>
        <w:t xml:space="preserve"> via l’utilisation de SIG</w:t>
      </w:r>
      <w:r w:rsidRPr="007B2D55">
        <w:rPr>
          <w:lang w:val="fr-FR"/>
        </w:rPr>
        <w:t xml:space="preserve"> (</w:t>
      </w:r>
      <w:r w:rsidR="00602E6B" w:rsidRPr="007B2D55">
        <w:rPr>
          <w:lang w:val="fr-FR"/>
        </w:rPr>
        <w:t>besoins et contraintes dans les différents quartiers, tels que l’</w:t>
      </w:r>
      <w:r w:rsidRPr="007B2D55">
        <w:rPr>
          <w:lang w:val="fr-FR"/>
        </w:rPr>
        <w:t>accessibilité,</w:t>
      </w:r>
      <w:r w:rsidR="00602E6B" w:rsidRPr="007B2D55">
        <w:rPr>
          <w:lang w:val="fr-FR"/>
        </w:rPr>
        <w:t xml:space="preserve"> la topographie,</w:t>
      </w:r>
      <w:r w:rsidRPr="007B2D55">
        <w:rPr>
          <w:lang w:val="fr-FR"/>
        </w:rPr>
        <w:t xml:space="preserve"> accès aux services de base, etc.) et cartographie des principaux groupes de comportement</w:t>
      </w:r>
    </w:p>
    <w:p w14:paraId="7B4DA9C3" w14:textId="133C2B6F" w:rsidR="00B35672" w:rsidRPr="007B2D55" w:rsidRDefault="00B35672" w:rsidP="00B35672">
      <w:pPr>
        <w:pStyle w:val="ListParagraph"/>
        <w:numPr>
          <w:ilvl w:val="0"/>
          <w:numId w:val="20"/>
        </w:numPr>
        <w:jc w:val="both"/>
        <w:rPr>
          <w:lang w:val="fr-FR"/>
        </w:rPr>
      </w:pPr>
      <w:r w:rsidRPr="007B2D55">
        <w:rPr>
          <w:lang w:val="fr-FR"/>
        </w:rPr>
        <w:t xml:space="preserve">Recherche des forces et des faiblesses de la situation des résidents de </w:t>
      </w:r>
      <w:r w:rsidR="008846CC">
        <w:rPr>
          <w:lang w:val="fr-FR"/>
        </w:rPr>
        <w:t>Nouakchott</w:t>
      </w:r>
      <w:r w:rsidRPr="007B2D55">
        <w:rPr>
          <w:lang w:val="fr-FR"/>
        </w:rPr>
        <w:t xml:space="preserve"> en termes de qualité d’assainissement</w:t>
      </w:r>
    </w:p>
    <w:p w14:paraId="6D769725" w14:textId="4A5AAA09" w:rsidR="00B35672" w:rsidRPr="007B2D55" w:rsidRDefault="00B35672" w:rsidP="00B35672">
      <w:pPr>
        <w:pStyle w:val="ListParagraph"/>
        <w:numPr>
          <w:ilvl w:val="0"/>
          <w:numId w:val="20"/>
        </w:numPr>
        <w:jc w:val="both"/>
        <w:rPr>
          <w:lang w:val="fr-FR"/>
        </w:rPr>
      </w:pPr>
      <w:r w:rsidRPr="007B2D55">
        <w:rPr>
          <w:lang w:val="fr-FR"/>
        </w:rPr>
        <w:t>Quantification et saisonnalité du volume de BV produit et vidangé par les différents services (en faisant une distinction entre service mécanisé et service manuel)</w:t>
      </w:r>
      <w:r w:rsidR="00602E6B" w:rsidRPr="007B2D55">
        <w:rPr>
          <w:lang w:val="fr-FR"/>
        </w:rPr>
        <w:t> ; idéalement analyse par zone/quartier</w:t>
      </w:r>
    </w:p>
    <w:p w14:paraId="5A8E9484" w14:textId="431F9472" w:rsidR="00B35672" w:rsidRDefault="00080889" w:rsidP="00B35672">
      <w:pPr>
        <w:pStyle w:val="ListParagraph"/>
        <w:numPr>
          <w:ilvl w:val="0"/>
          <w:numId w:val="20"/>
        </w:numPr>
        <w:jc w:val="both"/>
        <w:rPr>
          <w:lang w:val="fr-FR"/>
        </w:rPr>
      </w:pPr>
      <w:r w:rsidRPr="007B2D55">
        <w:rPr>
          <w:lang w:val="fr-FR"/>
        </w:rPr>
        <w:t>Amélioration</w:t>
      </w:r>
      <w:r w:rsidR="00B35672" w:rsidRPr="007B2D55">
        <w:rPr>
          <w:lang w:val="fr-FR"/>
        </w:rPr>
        <w:t xml:space="preserve"> du SFD</w:t>
      </w:r>
      <w:r w:rsidR="009F1264" w:rsidRPr="007B2D55">
        <w:rPr>
          <w:lang w:val="fr-FR"/>
        </w:rPr>
        <w:t xml:space="preserve"> </w:t>
      </w:r>
      <w:r w:rsidR="008846CC">
        <w:rPr>
          <w:lang w:val="fr-FR"/>
        </w:rPr>
        <w:t>réalisé dans le cadre du diagnostic sur la base documentaire.</w:t>
      </w:r>
    </w:p>
    <w:p w14:paraId="2D8EBBB9" w14:textId="57C467AC" w:rsidR="001D6EEC" w:rsidRPr="007B2D55" w:rsidRDefault="001D6EEC" w:rsidP="00B35672">
      <w:pPr>
        <w:pStyle w:val="ListParagraph"/>
        <w:numPr>
          <w:ilvl w:val="0"/>
          <w:numId w:val="20"/>
        </w:numPr>
        <w:jc w:val="both"/>
        <w:rPr>
          <w:lang w:val="fr-FR"/>
        </w:rPr>
      </w:pPr>
      <w:r w:rsidRPr="007B2D55">
        <w:rPr>
          <w:lang w:val="fr-FR"/>
        </w:rPr>
        <w:t>Les recommandations pour l’amélioration des services (par exemple stratégie pro-poor)</w:t>
      </w:r>
    </w:p>
    <w:p w14:paraId="4067DEA5" w14:textId="3379AAF5" w:rsidR="00B35672" w:rsidRDefault="001D6EEC" w:rsidP="00B35672">
      <w:pPr>
        <w:pStyle w:val="puce1"/>
        <w:rPr>
          <w:lang w:val="fr-FR"/>
        </w:rPr>
      </w:pPr>
      <w:r>
        <w:rPr>
          <w:lang w:val="fr-FR"/>
        </w:rPr>
        <w:t>Le rapport de caractérisation du service de vidange :</w:t>
      </w:r>
    </w:p>
    <w:p w14:paraId="5DA036E5" w14:textId="3B49D2CA" w:rsidR="001D6EEC" w:rsidRDefault="001D6EEC" w:rsidP="001D6EEC">
      <w:pPr>
        <w:pStyle w:val="ListParagraph"/>
        <w:numPr>
          <w:ilvl w:val="0"/>
          <w:numId w:val="20"/>
        </w:numPr>
        <w:jc w:val="both"/>
        <w:rPr>
          <w:lang w:val="fr-FR"/>
        </w:rPr>
      </w:pPr>
      <w:r>
        <w:rPr>
          <w:lang w:val="fr-FR"/>
        </w:rPr>
        <w:t>L’analyse concernera aussi bien le service de vidange mécanisé que le service de vidange manuel</w:t>
      </w:r>
    </w:p>
    <w:p w14:paraId="1A286FD1" w14:textId="2310E735" w:rsidR="009745A2" w:rsidRDefault="009745A2" w:rsidP="001D6EEC">
      <w:pPr>
        <w:pStyle w:val="ListParagraph"/>
        <w:numPr>
          <w:ilvl w:val="0"/>
          <w:numId w:val="20"/>
        </w:numPr>
        <w:jc w:val="both"/>
        <w:rPr>
          <w:lang w:val="fr-FR"/>
        </w:rPr>
      </w:pPr>
      <w:r>
        <w:rPr>
          <w:lang w:val="fr-FR"/>
        </w:rPr>
        <w:t>Nombre d’opérateurs, équipements, pratiques, capacités, saisonnalité du service, zones de desserte, lieux de dépotage, contraintes et besoins, tarification et flux financier, efficacité du service, organisation, volume d’activité, etc.</w:t>
      </w:r>
    </w:p>
    <w:p w14:paraId="5A82A921" w14:textId="209094E9" w:rsidR="004E56D9" w:rsidRDefault="004E56D9" w:rsidP="001D6EEC">
      <w:pPr>
        <w:pStyle w:val="ListParagraph"/>
        <w:numPr>
          <w:ilvl w:val="0"/>
          <w:numId w:val="20"/>
        </w:numPr>
        <w:jc w:val="both"/>
        <w:rPr>
          <w:lang w:val="fr-FR"/>
        </w:rPr>
      </w:pPr>
      <w:r>
        <w:rPr>
          <w:lang w:val="fr-FR"/>
        </w:rPr>
        <w:t>Evolution du service et de la capacité du service, ainsi que les projections</w:t>
      </w:r>
    </w:p>
    <w:p w14:paraId="4941BF9B" w14:textId="2CC109F8" w:rsidR="004E56D9" w:rsidRDefault="004E56D9" w:rsidP="001D6EEC">
      <w:pPr>
        <w:pStyle w:val="ListParagraph"/>
        <w:numPr>
          <w:ilvl w:val="0"/>
          <w:numId w:val="20"/>
        </w:numPr>
        <w:jc w:val="both"/>
        <w:rPr>
          <w:lang w:val="fr-FR"/>
        </w:rPr>
      </w:pPr>
      <w:r>
        <w:rPr>
          <w:lang w:val="fr-FR"/>
        </w:rPr>
        <w:t>Cartographier les zones de parking et sites de dépotage officiels et non officiels</w:t>
      </w:r>
    </w:p>
    <w:p w14:paraId="19968EFD" w14:textId="34F2CA68" w:rsidR="009745A2" w:rsidRDefault="009745A2" w:rsidP="001D6EEC">
      <w:pPr>
        <w:pStyle w:val="ListParagraph"/>
        <w:numPr>
          <w:ilvl w:val="0"/>
          <w:numId w:val="20"/>
        </w:numPr>
        <w:jc w:val="both"/>
        <w:rPr>
          <w:lang w:val="fr-FR"/>
        </w:rPr>
      </w:pPr>
      <w:r>
        <w:rPr>
          <w:lang w:val="fr-FR"/>
        </w:rPr>
        <w:t>Estimation et analyse critique des flux de matière et recoupement avec les données d’enquêtes</w:t>
      </w:r>
    </w:p>
    <w:p w14:paraId="2B6955E4" w14:textId="50360CF1" w:rsidR="009745A2" w:rsidRDefault="009745A2" w:rsidP="001D6EEC">
      <w:pPr>
        <w:pStyle w:val="ListParagraph"/>
        <w:numPr>
          <w:ilvl w:val="0"/>
          <w:numId w:val="20"/>
        </w:numPr>
        <w:jc w:val="both"/>
        <w:rPr>
          <w:lang w:val="fr-FR"/>
        </w:rPr>
      </w:pPr>
      <w:r>
        <w:rPr>
          <w:lang w:val="fr-FR"/>
        </w:rPr>
        <w:t>L’analyse des comptes d’exploitation ou tout autre document pertinent des services de vidange des institutions publiques est attendue</w:t>
      </w:r>
    </w:p>
    <w:p w14:paraId="6DB88EA8" w14:textId="4444D891" w:rsidR="009745A2" w:rsidRDefault="009745A2" w:rsidP="001D6EEC">
      <w:pPr>
        <w:pStyle w:val="ListParagraph"/>
        <w:numPr>
          <w:ilvl w:val="0"/>
          <w:numId w:val="20"/>
        </w:numPr>
        <w:jc w:val="both"/>
        <w:rPr>
          <w:lang w:val="fr-FR"/>
        </w:rPr>
      </w:pPr>
      <w:r>
        <w:rPr>
          <w:lang w:val="fr-FR"/>
        </w:rPr>
        <w:t>Des recommandations pour une meilleure organisation et optimisation du service (par ex. objectifs du service privé et service publique)</w:t>
      </w:r>
    </w:p>
    <w:p w14:paraId="2EE30D7B" w14:textId="13FE0192" w:rsidR="009745A2" w:rsidRDefault="009745A2" w:rsidP="009745A2">
      <w:pPr>
        <w:pStyle w:val="ListParagraph"/>
        <w:numPr>
          <w:ilvl w:val="0"/>
          <w:numId w:val="20"/>
        </w:numPr>
        <w:jc w:val="both"/>
        <w:rPr>
          <w:lang w:val="fr-FR"/>
        </w:rPr>
      </w:pPr>
      <w:r>
        <w:rPr>
          <w:lang w:val="fr-FR"/>
        </w:rPr>
        <w:t>Une ébauche de registre des opérateurs mécanisés et manuels devra être intégré en annexe</w:t>
      </w:r>
    </w:p>
    <w:p w14:paraId="128EED2C" w14:textId="3A91DB62" w:rsidR="00DD27EB" w:rsidRDefault="00DD27EB" w:rsidP="008044BD">
      <w:pPr>
        <w:pStyle w:val="puce1"/>
        <w:rPr>
          <w:lang w:val="fr-FR"/>
        </w:rPr>
      </w:pPr>
      <w:r>
        <w:rPr>
          <w:lang w:val="fr-FR"/>
        </w:rPr>
        <w:t>Feuille de route pour le développement des services</w:t>
      </w:r>
      <w:r w:rsidR="006A28FA">
        <w:rPr>
          <w:lang w:val="fr-FR"/>
        </w:rPr>
        <w:t xml:space="preserve"> de GBV à Nouakchott</w:t>
      </w:r>
    </w:p>
    <w:p w14:paraId="6D46C138" w14:textId="5262099E" w:rsidR="00A10B17" w:rsidRPr="00A10B17" w:rsidRDefault="00A10B17" w:rsidP="00A10B17">
      <w:pPr>
        <w:pStyle w:val="puce1"/>
        <w:rPr>
          <w:lang w:val="fr-FR"/>
        </w:rPr>
      </w:pPr>
      <w:r>
        <w:rPr>
          <w:lang w:val="fr-FR"/>
        </w:rPr>
        <w:t>Rapport succinct avec la description des sites identifiés</w:t>
      </w:r>
    </w:p>
    <w:p w14:paraId="2C871428" w14:textId="36B3E1E3" w:rsidR="006312DE" w:rsidRPr="007B2D55" w:rsidRDefault="00977C56" w:rsidP="008F65B0">
      <w:pPr>
        <w:jc w:val="both"/>
        <w:rPr>
          <w:lang w:val="fr-FR"/>
        </w:rPr>
      </w:pPr>
      <w:r>
        <w:rPr>
          <w:lang w:val="fr-FR"/>
        </w:rPr>
        <w:t xml:space="preserve">Le Consultant présentera </w:t>
      </w:r>
      <w:r w:rsidRPr="007B2D55">
        <w:rPr>
          <w:lang w:val="fr-FR"/>
        </w:rPr>
        <w:t>les principaux résultats de</w:t>
      </w:r>
      <w:r>
        <w:rPr>
          <w:lang w:val="fr-FR"/>
        </w:rPr>
        <w:t>s études</w:t>
      </w:r>
      <w:r w:rsidRPr="007B2D55">
        <w:rPr>
          <w:lang w:val="fr-FR"/>
        </w:rPr>
        <w:t xml:space="preserve"> et les recommandations</w:t>
      </w:r>
      <w:r>
        <w:rPr>
          <w:lang w:val="fr-FR"/>
        </w:rPr>
        <w:t xml:space="preserve"> lors d’un atelier de restitution finale à Nouakchott. Le Consultant devra être physiquement présent à cet atelier. </w:t>
      </w:r>
    </w:p>
    <w:p w14:paraId="711F1E9D" w14:textId="1B4283CA" w:rsidR="00931D7B" w:rsidRPr="007B2D55" w:rsidRDefault="006836F7" w:rsidP="006836F7">
      <w:pPr>
        <w:jc w:val="both"/>
        <w:rPr>
          <w:lang w:val="fr-FR"/>
        </w:rPr>
      </w:pPr>
      <w:r w:rsidRPr="007B2D55">
        <w:rPr>
          <w:lang w:val="fr-FR"/>
        </w:rPr>
        <w:t>Le Consultant devra remettre le fichier nettoyé des résultats d’enquête dans un format adapté</w:t>
      </w:r>
      <w:r w:rsidR="001D6EEC">
        <w:rPr>
          <w:lang w:val="fr-FR"/>
        </w:rPr>
        <w:t xml:space="preserve"> ainsi que l</w:t>
      </w:r>
      <w:r w:rsidR="001D6EEC" w:rsidRPr="007B2D55">
        <w:rPr>
          <w:lang w:val="fr-FR"/>
        </w:rPr>
        <w:t xml:space="preserve">e repérage cartographique des </w:t>
      </w:r>
      <w:r w:rsidR="008D1983" w:rsidRPr="007B2D55">
        <w:rPr>
          <w:lang w:val="fr-FR"/>
        </w:rPr>
        <w:t>enquêtés</w:t>
      </w:r>
      <w:r w:rsidR="001D6EEC">
        <w:rPr>
          <w:lang w:val="fr-FR"/>
        </w:rPr>
        <w:t>.</w:t>
      </w:r>
    </w:p>
    <w:p w14:paraId="0DE2E70C" w14:textId="77777777" w:rsidR="00545045" w:rsidRDefault="00545045">
      <w:pPr>
        <w:rPr>
          <w:b/>
          <w:bCs/>
          <w:caps/>
          <w:lang w:val="fr-FR"/>
        </w:rPr>
      </w:pPr>
      <w:r>
        <w:rPr>
          <w:b/>
          <w:bCs/>
          <w:caps/>
          <w:lang w:val="fr-FR"/>
        </w:rPr>
        <w:br w:type="page"/>
      </w:r>
    </w:p>
    <w:p w14:paraId="081E8CCB" w14:textId="240FD173" w:rsidR="0004797E" w:rsidRPr="007B2D55" w:rsidRDefault="0004797E" w:rsidP="0004797E">
      <w:pPr>
        <w:pBdr>
          <w:bottom w:val="single" w:sz="4" w:space="1" w:color="auto"/>
        </w:pBdr>
        <w:rPr>
          <w:b/>
          <w:bCs/>
          <w:caps/>
          <w:lang w:val="fr-FR"/>
        </w:rPr>
      </w:pPr>
      <w:r w:rsidRPr="007B2D55">
        <w:rPr>
          <w:b/>
          <w:bCs/>
          <w:caps/>
          <w:lang w:val="fr-FR"/>
        </w:rPr>
        <w:lastRenderedPageBreak/>
        <w:t>Organisation</w:t>
      </w:r>
    </w:p>
    <w:p w14:paraId="170C03B1" w14:textId="0767E457" w:rsidR="0004797E" w:rsidRDefault="0004797E">
      <w:pPr>
        <w:jc w:val="both"/>
        <w:rPr>
          <w:lang w:val="fr-FR"/>
        </w:rPr>
      </w:pPr>
      <w:r w:rsidRPr="007B2D55">
        <w:rPr>
          <w:lang w:val="fr-FR"/>
        </w:rPr>
        <w:t xml:space="preserve">La mission </w:t>
      </w:r>
      <w:r w:rsidR="008846CC">
        <w:rPr>
          <w:lang w:val="fr-FR"/>
        </w:rPr>
        <w:t>du Consultant</w:t>
      </w:r>
      <w:r w:rsidR="00143E13" w:rsidRPr="007B2D55">
        <w:rPr>
          <w:lang w:val="fr-FR"/>
        </w:rPr>
        <w:t xml:space="preserve"> </w:t>
      </w:r>
      <w:r w:rsidRPr="007B2D55">
        <w:rPr>
          <w:lang w:val="fr-FR"/>
        </w:rPr>
        <w:t>est réalisée en lien avec</w:t>
      </w:r>
      <w:r w:rsidR="008D1983">
        <w:rPr>
          <w:lang w:val="fr-FR"/>
        </w:rPr>
        <w:t xml:space="preserve"> l</w:t>
      </w:r>
      <w:r w:rsidRPr="007B2D55">
        <w:rPr>
          <w:lang w:val="fr-FR"/>
        </w:rPr>
        <w:t xml:space="preserve">e secrétariat de l’AIMF, la conseillère en </w:t>
      </w:r>
      <w:r w:rsidRPr="009A43C6">
        <w:rPr>
          <w:lang w:val="fr-FR"/>
        </w:rPr>
        <w:t>charge de l’ISSV, et l’expert assainissement de l’ISSV.</w:t>
      </w:r>
      <w:r w:rsidR="008D1983">
        <w:rPr>
          <w:lang w:val="fr-FR"/>
        </w:rPr>
        <w:t xml:space="preserve"> A</w:t>
      </w:r>
      <w:r w:rsidR="008044BD">
        <w:rPr>
          <w:lang w:val="fr-FR"/>
        </w:rPr>
        <w:t>us</w:t>
      </w:r>
      <w:r w:rsidR="008D1983">
        <w:rPr>
          <w:lang w:val="fr-FR"/>
        </w:rPr>
        <w:t xml:space="preserve">si le consultant travaillera en forte collaboration sur le terrain avec la Région, afin de lui faciliter la mise en œuvre de l’activité. </w:t>
      </w:r>
    </w:p>
    <w:p w14:paraId="42F65CC4" w14:textId="5FEF253A" w:rsidR="0004797E" w:rsidRPr="007B2D55" w:rsidRDefault="0004797E" w:rsidP="00556222">
      <w:pPr>
        <w:jc w:val="both"/>
        <w:rPr>
          <w:lang w:val="fr-FR"/>
        </w:rPr>
      </w:pPr>
      <w:r w:rsidRPr="007B2D55">
        <w:rPr>
          <w:lang w:val="fr-FR"/>
        </w:rPr>
        <w:t xml:space="preserve">Le délai </w:t>
      </w:r>
      <w:r w:rsidR="003D22DE" w:rsidRPr="007B2D55">
        <w:rPr>
          <w:lang w:val="fr-FR"/>
        </w:rPr>
        <w:t xml:space="preserve">global d’intervention est prévu </w:t>
      </w:r>
      <w:r w:rsidR="00851FF3" w:rsidRPr="007B2D55">
        <w:rPr>
          <w:lang w:val="fr-FR"/>
        </w:rPr>
        <w:t xml:space="preserve">à fin </w:t>
      </w:r>
      <w:r w:rsidR="008846CC">
        <w:rPr>
          <w:lang w:val="fr-FR"/>
        </w:rPr>
        <w:t>août</w:t>
      </w:r>
      <w:r w:rsidR="00851FF3" w:rsidRPr="007B2D55">
        <w:rPr>
          <w:lang w:val="fr-FR"/>
        </w:rPr>
        <w:t xml:space="preserve"> 2021</w:t>
      </w:r>
      <w:r w:rsidR="003D22DE" w:rsidRPr="007B2D55">
        <w:rPr>
          <w:lang w:val="fr-FR"/>
        </w:rPr>
        <w:t>.</w:t>
      </w:r>
    </w:p>
    <w:p w14:paraId="20E6E18C" w14:textId="64D3AA82" w:rsidR="00775341" w:rsidRPr="007B2D55" w:rsidRDefault="006C4AFE" w:rsidP="00556222">
      <w:pPr>
        <w:jc w:val="both"/>
        <w:rPr>
          <w:lang w:val="fr-FR"/>
        </w:rPr>
      </w:pPr>
      <w:r w:rsidRPr="007B2D55">
        <w:rPr>
          <w:lang w:val="fr-FR"/>
        </w:rPr>
        <w:t>Il est attendu d</w:t>
      </w:r>
      <w:r w:rsidR="008846CC">
        <w:rPr>
          <w:lang w:val="fr-FR"/>
        </w:rPr>
        <w:t>u Consultant</w:t>
      </w:r>
      <w:r w:rsidRPr="007B2D55">
        <w:rPr>
          <w:lang w:val="fr-FR"/>
        </w:rPr>
        <w:t xml:space="preserve"> de soumettre une offre </w:t>
      </w:r>
      <w:r w:rsidR="00222D51">
        <w:rPr>
          <w:lang w:val="fr-FR"/>
        </w:rPr>
        <w:t>incluant</w:t>
      </w:r>
      <w:r w:rsidRPr="007B2D55">
        <w:rPr>
          <w:lang w:val="fr-FR"/>
        </w:rPr>
        <w:t xml:space="preserve"> </w:t>
      </w:r>
      <w:r w:rsidR="00775341" w:rsidRPr="007B2D55">
        <w:rPr>
          <w:lang w:val="fr-FR"/>
        </w:rPr>
        <w:t>:</w:t>
      </w:r>
    </w:p>
    <w:p w14:paraId="589104A7" w14:textId="38E70B58" w:rsidR="00222D51" w:rsidRDefault="00222D51" w:rsidP="00775341">
      <w:pPr>
        <w:pStyle w:val="puce1"/>
        <w:numPr>
          <w:ilvl w:val="0"/>
          <w:numId w:val="24"/>
        </w:numPr>
        <w:jc w:val="both"/>
        <w:rPr>
          <w:lang w:val="fr-FR"/>
        </w:rPr>
      </w:pPr>
      <w:r>
        <w:rPr>
          <w:lang w:val="fr-FR"/>
        </w:rPr>
        <w:t>Présentation du consultant ou de l’équipe de consultants qui interviendra dans la mission, y compris éventuel partenaire local. Maximum 1 page.</w:t>
      </w:r>
    </w:p>
    <w:p w14:paraId="4822A27D" w14:textId="67FAA018" w:rsidR="00222D51" w:rsidRDefault="00222D51" w:rsidP="00775341">
      <w:pPr>
        <w:pStyle w:val="puce1"/>
        <w:numPr>
          <w:ilvl w:val="0"/>
          <w:numId w:val="24"/>
        </w:numPr>
        <w:jc w:val="both"/>
        <w:rPr>
          <w:lang w:val="fr-FR"/>
        </w:rPr>
      </w:pPr>
      <w:r>
        <w:rPr>
          <w:lang w:val="fr-FR"/>
        </w:rPr>
        <w:t>Références spécifiques du (des) consultant(s) en lien avec la mission. Maximum 2 pages (pour l’ensemble des consultants)</w:t>
      </w:r>
    </w:p>
    <w:p w14:paraId="3800F09C" w14:textId="072AFA5E" w:rsidR="00222D51" w:rsidRDefault="00222D51" w:rsidP="00775341">
      <w:pPr>
        <w:pStyle w:val="puce1"/>
        <w:numPr>
          <w:ilvl w:val="0"/>
          <w:numId w:val="24"/>
        </w:numPr>
        <w:jc w:val="both"/>
        <w:rPr>
          <w:lang w:val="fr-FR"/>
        </w:rPr>
      </w:pPr>
      <w:r>
        <w:rPr>
          <w:lang w:val="fr-FR"/>
        </w:rPr>
        <w:t>CV complet du (des) consultant(s) et répartition de l’effort</w:t>
      </w:r>
    </w:p>
    <w:p w14:paraId="4F81816A" w14:textId="4C427B28" w:rsidR="00931D7B" w:rsidRDefault="00931D7B" w:rsidP="00222D51">
      <w:pPr>
        <w:pStyle w:val="puce1"/>
        <w:numPr>
          <w:ilvl w:val="0"/>
          <w:numId w:val="24"/>
        </w:numPr>
        <w:jc w:val="both"/>
        <w:rPr>
          <w:lang w:val="fr-FR"/>
        </w:rPr>
      </w:pPr>
      <w:r w:rsidRPr="00222D51">
        <w:rPr>
          <w:lang w:val="fr-FR"/>
        </w:rPr>
        <w:t>M</w:t>
      </w:r>
      <w:r w:rsidR="00775341" w:rsidRPr="00222D51">
        <w:rPr>
          <w:lang w:val="fr-FR"/>
        </w:rPr>
        <w:t>éthodologie</w:t>
      </w:r>
      <w:r w:rsidR="00222D51" w:rsidRPr="00222D51">
        <w:rPr>
          <w:lang w:val="fr-FR"/>
        </w:rPr>
        <w:t xml:space="preserve"> succincte</w:t>
      </w:r>
      <w:r w:rsidR="00775341" w:rsidRPr="00222D51">
        <w:rPr>
          <w:lang w:val="fr-FR"/>
        </w:rPr>
        <w:t xml:space="preserve"> pour mener les études</w:t>
      </w:r>
      <w:r w:rsidR="00222D51" w:rsidRPr="00222D51">
        <w:rPr>
          <w:lang w:val="fr-FR"/>
        </w:rPr>
        <w:t xml:space="preserve">, i.e. </w:t>
      </w:r>
      <w:r w:rsidR="004E56D9" w:rsidRPr="00222D51">
        <w:rPr>
          <w:lang w:val="fr-FR"/>
        </w:rPr>
        <w:t>socio-économique et caractérisation du service de vidange</w:t>
      </w:r>
      <w:r w:rsidR="00222D51" w:rsidRPr="00222D51">
        <w:rPr>
          <w:lang w:val="fr-FR"/>
        </w:rPr>
        <w:t xml:space="preserve"> (</w:t>
      </w:r>
      <w:r w:rsidR="008A2752" w:rsidRPr="008A2752">
        <w:rPr>
          <w:lang w:val="fr-FR"/>
        </w:rPr>
        <w:t>compréhension des enjeux et attentes</w:t>
      </w:r>
      <w:r w:rsidR="008A2752">
        <w:rPr>
          <w:lang w:val="fr-FR"/>
        </w:rPr>
        <w:t xml:space="preserve">, </w:t>
      </w:r>
      <w:r w:rsidR="00222D51" w:rsidRPr="00222D51">
        <w:rPr>
          <w:lang w:val="fr-FR"/>
        </w:rPr>
        <w:t>n</w:t>
      </w:r>
      <w:r w:rsidRPr="00222D51">
        <w:rPr>
          <w:lang w:val="fr-FR"/>
        </w:rPr>
        <w:t>ombre d’enquêteurs et moyens nécessaires</w:t>
      </w:r>
      <w:r w:rsidR="00222D51" w:rsidRPr="00222D51">
        <w:rPr>
          <w:lang w:val="fr-FR"/>
        </w:rPr>
        <w:t>, f</w:t>
      </w:r>
      <w:r w:rsidRPr="00222D51">
        <w:rPr>
          <w:lang w:val="fr-FR"/>
        </w:rPr>
        <w:t>ormation des enquêteurs</w:t>
      </w:r>
      <w:r w:rsidR="00222D51" w:rsidRPr="00222D51">
        <w:rPr>
          <w:lang w:val="fr-FR"/>
        </w:rPr>
        <w:t xml:space="preserve">, </w:t>
      </w:r>
      <w:r w:rsidR="00222D51">
        <w:rPr>
          <w:lang w:val="fr-FR"/>
        </w:rPr>
        <w:t>m</w:t>
      </w:r>
      <w:r w:rsidRPr="00222D51">
        <w:rPr>
          <w:lang w:val="fr-FR"/>
        </w:rPr>
        <w:t xml:space="preserve">odalités de suivi </w:t>
      </w:r>
      <w:r w:rsidR="009745A2" w:rsidRPr="00222D51">
        <w:rPr>
          <w:lang w:val="fr-FR"/>
        </w:rPr>
        <w:t xml:space="preserve">de la </w:t>
      </w:r>
      <w:r w:rsidRPr="00222D51">
        <w:rPr>
          <w:lang w:val="fr-FR"/>
        </w:rPr>
        <w:t>qualité des résultats</w:t>
      </w:r>
      <w:r w:rsidR="008A2752">
        <w:rPr>
          <w:lang w:val="fr-FR"/>
        </w:rPr>
        <w:t>, analyse du service de vidange</w:t>
      </w:r>
      <w:r w:rsidR="00222D51">
        <w:rPr>
          <w:lang w:val="fr-FR"/>
        </w:rPr>
        <w:t xml:space="preserve">). </w:t>
      </w:r>
      <w:r w:rsidR="008044BD">
        <w:rPr>
          <w:lang w:val="fr-FR"/>
        </w:rPr>
        <w:t xml:space="preserve">Le Consultant proposera également la </w:t>
      </w:r>
      <w:r w:rsidR="008044BD" w:rsidRPr="00222D51">
        <w:rPr>
          <w:lang w:val="fr-FR"/>
        </w:rPr>
        <w:t>taille de l’échantillo</w:t>
      </w:r>
      <w:r w:rsidR="008044BD">
        <w:rPr>
          <w:lang w:val="fr-FR"/>
        </w:rPr>
        <w:t>n.</w:t>
      </w:r>
      <w:r w:rsidR="008044BD" w:rsidRPr="00222D51">
        <w:rPr>
          <w:lang w:val="fr-FR"/>
        </w:rPr>
        <w:t xml:space="preserve"> </w:t>
      </w:r>
      <w:r w:rsidR="00222D51">
        <w:rPr>
          <w:lang w:val="fr-FR"/>
        </w:rPr>
        <w:t>Maximum 2 pages.</w:t>
      </w:r>
    </w:p>
    <w:p w14:paraId="2D3D919E" w14:textId="3E5B05C0" w:rsidR="00222D51" w:rsidRPr="00222D51" w:rsidRDefault="00222D51">
      <w:pPr>
        <w:pStyle w:val="puce1"/>
        <w:numPr>
          <w:ilvl w:val="0"/>
          <w:numId w:val="24"/>
        </w:numPr>
        <w:jc w:val="both"/>
        <w:rPr>
          <w:lang w:val="fr-FR"/>
        </w:rPr>
      </w:pPr>
      <w:r>
        <w:rPr>
          <w:lang w:val="fr-FR"/>
        </w:rPr>
        <w:t>E</w:t>
      </w:r>
      <w:r w:rsidRPr="00DA3D44">
        <w:rPr>
          <w:lang w:val="fr-FR"/>
        </w:rPr>
        <w:t>bauche de questionnaire (enquête-ménage)</w:t>
      </w:r>
      <w:r w:rsidR="008A2752">
        <w:rPr>
          <w:lang w:val="fr-FR"/>
        </w:rPr>
        <w:t>, à soumettre en annexe</w:t>
      </w:r>
    </w:p>
    <w:p w14:paraId="5BBB0DE3" w14:textId="400D24DD" w:rsidR="00931D7B" w:rsidRPr="007B2D55" w:rsidRDefault="00931D7B" w:rsidP="00931D7B">
      <w:pPr>
        <w:pStyle w:val="puce1"/>
        <w:numPr>
          <w:ilvl w:val="0"/>
          <w:numId w:val="24"/>
        </w:numPr>
        <w:jc w:val="both"/>
        <w:rPr>
          <w:lang w:val="fr-FR"/>
        </w:rPr>
      </w:pPr>
      <w:r w:rsidRPr="007B2D55">
        <w:rPr>
          <w:lang w:val="fr-FR"/>
        </w:rPr>
        <w:t>Calendrier pr</w:t>
      </w:r>
      <w:r w:rsidR="00150D61" w:rsidRPr="007B2D55">
        <w:rPr>
          <w:lang w:val="fr-FR"/>
        </w:rPr>
        <w:t>é</w:t>
      </w:r>
      <w:r w:rsidRPr="007B2D55">
        <w:rPr>
          <w:lang w:val="fr-FR"/>
        </w:rPr>
        <w:t>visionnel</w:t>
      </w:r>
      <w:r w:rsidR="00222D51">
        <w:rPr>
          <w:lang w:val="fr-FR"/>
        </w:rPr>
        <w:t xml:space="preserve"> pour mener les études incluant les missions de terrain</w:t>
      </w:r>
    </w:p>
    <w:p w14:paraId="31A29DEF" w14:textId="092EA893" w:rsidR="00222D51" w:rsidRDefault="00222D51" w:rsidP="00931D7B">
      <w:pPr>
        <w:jc w:val="both"/>
        <w:rPr>
          <w:lang w:val="fr-FR"/>
        </w:rPr>
      </w:pPr>
      <w:r>
        <w:rPr>
          <w:lang w:val="fr-FR"/>
        </w:rPr>
        <w:t>Le consultant ne devra pas dépasser les nombres de pages indiqués.</w:t>
      </w:r>
    </w:p>
    <w:p w14:paraId="5BE8ACE9" w14:textId="54A3F95F" w:rsidR="00931D7B" w:rsidRDefault="008846CC" w:rsidP="00931D7B">
      <w:pPr>
        <w:jc w:val="both"/>
        <w:rPr>
          <w:lang w:val="fr-FR"/>
        </w:rPr>
      </w:pPr>
      <w:r>
        <w:rPr>
          <w:lang w:val="fr-FR"/>
        </w:rPr>
        <w:t>L</w:t>
      </w:r>
      <w:r w:rsidR="00931D7B" w:rsidRPr="007B2D55">
        <w:rPr>
          <w:lang w:val="fr-FR"/>
        </w:rPr>
        <w:t>es enquêtes devr</w:t>
      </w:r>
      <w:r>
        <w:rPr>
          <w:lang w:val="fr-FR"/>
        </w:rPr>
        <w:t>on</w:t>
      </w:r>
      <w:r w:rsidR="00931D7B" w:rsidRPr="007B2D55">
        <w:rPr>
          <w:lang w:val="fr-FR"/>
        </w:rPr>
        <w:t>t être menées à l’aide de l’outil informatique en utilisant des tablettes ou smartphones.</w:t>
      </w:r>
    </w:p>
    <w:p w14:paraId="1C12C9F7" w14:textId="73206D66" w:rsidR="00B07682" w:rsidRDefault="00B07682" w:rsidP="00931D7B">
      <w:pPr>
        <w:jc w:val="both"/>
        <w:rPr>
          <w:lang w:val="fr-FR"/>
        </w:rPr>
      </w:pPr>
      <w:r>
        <w:rPr>
          <w:lang w:val="fr-FR"/>
        </w:rPr>
        <w:t xml:space="preserve">Le consultant devra garantir un relai au niveau local afin de garantir la qualité du travail </w:t>
      </w:r>
      <w:r w:rsidRPr="008044BD">
        <w:rPr>
          <w:lang w:val="fr-FR"/>
        </w:rPr>
        <w:t>(connaissance du terrain, suivi des enquêteurs, traduction</w:t>
      </w:r>
      <w:r>
        <w:rPr>
          <w:lang w:val="fr-FR"/>
        </w:rPr>
        <w:t xml:space="preserve"> lorsque nécessaire</w:t>
      </w:r>
      <w:r w:rsidRPr="008044BD">
        <w:rPr>
          <w:lang w:val="fr-FR"/>
        </w:rPr>
        <w:t>, etc.)</w:t>
      </w:r>
      <w:r>
        <w:rPr>
          <w:lang w:val="fr-FR"/>
        </w:rPr>
        <w:t>.</w:t>
      </w:r>
    </w:p>
    <w:p w14:paraId="659592B7" w14:textId="526AEA2E" w:rsidR="00B07682" w:rsidRDefault="00B07682" w:rsidP="00B07682">
      <w:pPr>
        <w:jc w:val="both"/>
        <w:rPr>
          <w:lang w:val="fr-FR"/>
        </w:rPr>
      </w:pPr>
      <w:r>
        <w:rPr>
          <w:lang w:val="fr-FR"/>
        </w:rPr>
        <w:t>Le Consultant fera son affaire de la contractualisation des enquêteurs et éventuels besoins en traduction. Il gèrera également les aspects logistiques (transport, équipement, location de matériel).</w:t>
      </w:r>
    </w:p>
    <w:p w14:paraId="0167CE8D" w14:textId="6402366F" w:rsidR="00DA7F71" w:rsidRPr="007B2D55" w:rsidRDefault="00DA7F71" w:rsidP="00931D7B">
      <w:pPr>
        <w:jc w:val="both"/>
        <w:rPr>
          <w:lang w:val="fr-FR"/>
        </w:rPr>
      </w:pPr>
      <w:r w:rsidRPr="007B2D55">
        <w:rPr>
          <w:lang w:val="fr-FR"/>
        </w:rPr>
        <w:t xml:space="preserve">Si son offre est retenue, </w:t>
      </w:r>
      <w:r w:rsidR="008846CC">
        <w:rPr>
          <w:lang w:val="fr-FR"/>
        </w:rPr>
        <w:t>le Consultant</w:t>
      </w:r>
      <w:r w:rsidR="006C4AFE" w:rsidRPr="007B2D55">
        <w:rPr>
          <w:lang w:val="fr-FR"/>
        </w:rPr>
        <w:t xml:space="preserve"> </w:t>
      </w:r>
      <w:r w:rsidRPr="007B2D55">
        <w:rPr>
          <w:lang w:val="fr-FR"/>
        </w:rPr>
        <w:t xml:space="preserve">devra remettre à l’AIMF, et avant d’entamer tout travail sur le terrain, </w:t>
      </w:r>
      <w:r w:rsidR="008846CC">
        <w:rPr>
          <w:lang w:val="fr-FR"/>
        </w:rPr>
        <w:t>un rapport de démarrage détaillant la</w:t>
      </w:r>
      <w:r w:rsidRPr="007B2D55">
        <w:rPr>
          <w:lang w:val="fr-FR"/>
        </w:rPr>
        <w:t xml:space="preserve"> méthodologi</w:t>
      </w:r>
      <w:r w:rsidR="008846CC">
        <w:rPr>
          <w:lang w:val="fr-FR"/>
        </w:rPr>
        <w:t>e des études</w:t>
      </w:r>
      <w:r w:rsidRPr="007B2D55">
        <w:rPr>
          <w:lang w:val="fr-FR"/>
        </w:rPr>
        <w:t xml:space="preserve"> </w:t>
      </w:r>
      <w:r w:rsidR="00A954BF">
        <w:rPr>
          <w:lang w:val="fr-FR"/>
        </w:rPr>
        <w:t xml:space="preserve">et </w:t>
      </w:r>
      <w:r w:rsidRPr="007B2D55">
        <w:rPr>
          <w:lang w:val="fr-FR"/>
        </w:rPr>
        <w:t xml:space="preserve">la manière dont seront menées les enquêtes et autres activités de terrain. </w:t>
      </w:r>
    </w:p>
    <w:p w14:paraId="79CBF61E" w14:textId="223E00A2" w:rsidR="00CB1E52" w:rsidRPr="007B2D55" w:rsidRDefault="00CB1E52" w:rsidP="00556222">
      <w:pPr>
        <w:jc w:val="both"/>
        <w:rPr>
          <w:rFonts w:ascii="Calibri" w:hAnsi="Calibri" w:cs="Calibri"/>
          <w:lang w:val="fr-FR"/>
        </w:rPr>
      </w:pPr>
      <w:r w:rsidRPr="007B2D55">
        <w:rPr>
          <w:rFonts w:ascii="Calibri" w:hAnsi="Calibri" w:cs="Calibri"/>
          <w:lang w:val="fr-FR"/>
        </w:rPr>
        <w:t xml:space="preserve">Il est attendu une totale confidentialité sur les informations échangées avec la </w:t>
      </w:r>
      <w:r w:rsidR="00A954BF">
        <w:rPr>
          <w:rFonts w:ascii="Calibri" w:hAnsi="Calibri" w:cs="Calibri"/>
          <w:lang w:val="fr-FR"/>
        </w:rPr>
        <w:t>Région</w:t>
      </w:r>
      <w:r w:rsidRPr="007B2D55">
        <w:rPr>
          <w:rFonts w:ascii="Calibri" w:hAnsi="Calibri" w:cs="Calibri"/>
          <w:lang w:val="fr-FR"/>
        </w:rPr>
        <w:t xml:space="preserve"> de </w:t>
      </w:r>
      <w:r w:rsidR="00A954BF">
        <w:rPr>
          <w:rFonts w:ascii="Calibri" w:hAnsi="Calibri" w:cs="Calibri"/>
          <w:lang w:val="fr-FR"/>
        </w:rPr>
        <w:t>Nouakchott</w:t>
      </w:r>
      <w:r w:rsidRPr="007B2D55">
        <w:rPr>
          <w:rFonts w:ascii="Calibri" w:hAnsi="Calibri" w:cs="Calibri"/>
          <w:lang w:val="fr-FR"/>
        </w:rPr>
        <w:t xml:space="preserve"> et les informations partagées sur les autres villes du programme ISSV. Les documents échangés entre le Consultant, l’AIMF et l’expert du programme ISSV ne doivent en aucune manière être divulgués ou utilisés à des fins autres que celles de la présente prestation.</w:t>
      </w:r>
    </w:p>
    <w:p w14:paraId="650A7C4E" w14:textId="047B451C" w:rsidR="006C4AFE" w:rsidRPr="007B2D55" w:rsidRDefault="006C4AFE">
      <w:pPr>
        <w:rPr>
          <w:b/>
          <w:bCs/>
          <w:caps/>
          <w:lang w:val="fr-FR"/>
        </w:rPr>
      </w:pPr>
    </w:p>
    <w:p w14:paraId="5AAA092A" w14:textId="77777777" w:rsidR="00545045" w:rsidRDefault="00545045">
      <w:pPr>
        <w:rPr>
          <w:b/>
          <w:bCs/>
          <w:caps/>
          <w:lang w:val="fr-FR"/>
        </w:rPr>
      </w:pPr>
      <w:r>
        <w:rPr>
          <w:b/>
          <w:bCs/>
          <w:caps/>
          <w:lang w:val="fr-FR"/>
        </w:rPr>
        <w:br w:type="page"/>
      </w:r>
    </w:p>
    <w:p w14:paraId="3BBE79C8" w14:textId="54C668A9" w:rsidR="009F1264" w:rsidRPr="007B2D55" w:rsidRDefault="009F1264" w:rsidP="009F1264">
      <w:pPr>
        <w:pBdr>
          <w:bottom w:val="single" w:sz="4" w:space="1" w:color="auto"/>
        </w:pBdr>
        <w:rPr>
          <w:b/>
          <w:bCs/>
          <w:caps/>
          <w:lang w:val="fr-FR"/>
        </w:rPr>
      </w:pPr>
      <w:r w:rsidRPr="007B2D55">
        <w:rPr>
          <w:b/>
          <w:bCs/>
          <w:caps/>
          <w:lang w:val="fr-FR"/>
        </w:rPr>
        <w:lastRenderedPageBreak/>
        <w:t>BUDGET</w:t>
      </w:r>
    </w:p>
    <w:p w14:paraId="2F8F501B" w14:textId="09C6B5EC" w:rsidR="009F1264" w:rsidRDefault="009F1264" w:rsidP="009F1264">
      <w:pPr>
        <w:jc w:val="both"/>
        <w:rPr>
          <w:lang w:val="fr-FR"/>
        </w:rPr>
      </w:pPr>
      <w:r w:rsidRPr="007B2D55">
        <w:rPr>
          <w:lang w:val="fr-FR"/>
        </w:rPr>
        <w:t xml:space="preserve">Un budget </w:t>
      </w:r>
      <w:r w:rsidR="00775BCD">
        <w:rPr>
          <w:lang w:val="fr-FR"/>
        </w:rPr>
        <w:t xml:space="preserve">maximal </w:t>
      </w:r>
      <w:r w:rsidRPr="007B2D55">
        <w:rPr>
          <w:lang w:val="fr-FR"/>
        </w:rPr>
        <w:t xml:space="preserve">total de </w:t>
      </w:r>
      <w:r w:rsidR="00B07682">
        <w:rPr>
          <w:lang w:val="fr-FR"/>
        </w:rPr>
        <w:t>3</w:t>
      </w:r>
      <w:r w:rsidR="00977C56">
        <w:rPr>
          <w:lang w:val="fr-FR"/>
        </w:rPr>
        <w:t>6</w:t>
      </w:r>
      <w:r w:rsidRPr="007B2D55">
        <w:rPr>
          <w:lang w:val="fr-FR"/>
        </w:rPr>
        <w:t>,</w:t>
      </w:r>
      <w:r w:rsidR="00977C56">
        <w:rPr>
          <w:lang w:val="fr-FR"/>
        </w:rPr>
        <w:t>5</w:t>
      </w:r>
      <w:r w:rsidRPr="007B2D55">
        <w:rPr>
          <w:lang w:val="fr-FR"/>
        </w:rPr>
        <w:t>00 € est prévu pour la réalisation de cette étude. Ce budget doit couvrir l’ensemble des activités y compris l’encadrement et la rémunération des enquêteurs,</w:t>
      </w:r>
      <w:r w:rsidR="00A954BF">
        <w:rPr>
          <w:lang w:val="fr-FR"/>
        </w:rPr>
        <w:t xml:space="preserve"> les frais remboursables</w:t>
      </w:r>
      <w:r w:rsidRPr="007B2D55">
        <w:rPr>
          <w:lang w:val="fr-FR"/>
        </w:rPr>
        <w:t xml:space="preserve"> et le travail sur le terrain.</w:t>
      </w:r>
    </w:p>
    <w:p w14:paraId="273DC999" w14:textId="6FB28D0B" w:rsidR="00977C56" w:rsidRPr="007B2D55" w:rsidRDefault="00977C56" w:rsidP="009F1264">
      <w:pPr>
        <w:jc w:val="both"/>
        <w:rPr>
          <w:lang w:val="fr-FR"/>
        </w:rPr>
      </w:pPr>
      <w:r>
        <w:rPr>
          <w:lang w:val="fr-FR"/>
        </w:rPr>
        <w:t>Les frais d’organisation de l’atelier de restitution seront pris en charge directement par la RN.</w:t>
      </w:r>
    </w:p>
    <w:p w14:paraId="36B43E15" w14:textId="77777777" w:rsidR="009F1264" w:rsidRPr="007B2D55" w:rsidRDefault="009F1264" w:rsidP="00556222">
      <w:pPr>
        <w:jc w:val="both"/>
        <w:rPr>
          <w:rFonts w:ascii="Calibri" w:hAnsi="Calibri" w:cs="Calibri"/>
          <w:lang w:val="fr-FR"/>
        </w:rPr>
      </w:pPr>
    </w:p>
    <w:p w14:paraId="04AD1F67" w14:textId="65B4FAE8" w:rsidR="0004797E" w:rsidRPr="007B2D55" w:rsidRDefault="0004797E" w:rsidP="0004797E">
      <w:pPr>
        <w:pBdr>
          <w:bottom w:val="single" w:sz="4" w:space="1" w:color="auto"/>
        </w:pBdr>
        <w:rPr>
          <w:b/>
          <w:bCs/>
          <w:caps/>
          <w:lang w:val="fr-FR"/>
        </w:rPr>
      </w:pPr>
      <w:r w:rsidRPr="007B2D55">
        <w:rPr>
          <w:b/>
          <w:bCs/>
          <w:caps/>
          <w:lang w:val="fr-FR"/>
        </w:rPr>
        <w:t>ANNEXE</w:t>
      </w:r>
    </w:p>
    <w:p w14:paraId="1BF7FE5B" w14:textId="77777777" w:rsidR="003D11F6" w:rsidRPr="007B2D55" w:rsidRDefault="00556222" w:rsidP="00556222">
      <w:pPr>
        <w:jc w:val="both"/>
        <w:rPr>
          <w:lang w:val="fr-FR"/>
        </w:rPr>
      </w:pPr>
      <w:r w:rsidRPr="007B2D55">
        <w:rPr>
          <w:lang w:val="fr-FR"/>
        </w:rPr>
        <w:t>Document</w:t>
      </w:r>
      <w:r w:rsidR="003D11F6" w:rsidRPr="007B2D55">
        <w:rPr>
          <w:lang w:val="fr-FR"/>
        </w:rPr>
        <w:t>s</w:t>
      </w:r>
      <w:r w:rsidRPr="007B2D55">
        <w:rPr>
          <w:lang w:val="fr-FR"/>
        </w:rPr>
        <w:t xml:space="preserve"> d’évaluation de la situation initiale</w:t>
      </w:r>
      <w:r w:rsidR="003D11F6" w:rsidRPr="007B2D55">
        <w:rPr>
          <w:lang w:val="fr-FR"/>
        </w:rPr>
        <w:t> :</w:t>
      </w:r>
    </w:p>
    <w:p w14:paraId="2427E69E" w14:textId="601473CA" w:rsidR="00A954BF" w:rsidRPr="008044BD" w:rsidRDefault="00A954BF" w:rsidP="00A954BF">
      <w:pPr>
        <w:pStyle w:val="ListParagraph"/>
        <w:numPr>
          <w:ilvl w:val="0"/>
          <w:numId w:val="18"/>
        </w:numPr>
        <w:spacing w:after="120" w:line="240" w:lineRule="auto"/>
        <w:contextualSpacing w:val="0"/>
        <w:jc w:val="both"/>
        <w:rPr>
          <w:lang w:val="fr-FR"/>
        </w:rPr>
      </w:pPr>
      <w:r w:rsidRPr="008044BD">
        <w:rPr>
          <w:rFonts w:cstheme="minorHAnsi"/>
          <w:bCs/>
          <w:lang w:val="fr-FR"/>
        </w:rPr>
        <w:t>Etat des lieux de la filière de gestion des boues de vidange à Nouakchott - Synthèse de la situation existante</w:t>
      </w:r>
      <w:r w:rsidRPr="008044BD">
        <w:rPr>
          <w:lang w:val="fr-FR"/>
        </w:rPr>
        <w:t xml:space="preserve"> – Pierre-Henri Dodane &amp; Amédé Ferré – 20 avril 2021</w:t>
      </w:r>
    </w:p>
    <w:p w14:paraId="7A8C9AA6" w14:textId="35BF643D" w:rsidR="00A954BF" w:rsidRPr="000C2126" w:rsidRDefault="00A954BF" w:rsidP="00A954BF">
      <w:pPr>
        <w:pStyle w:val="ListParagraph"/>
        <w:numPr>
          <w:ilvl w:val="0"/>
          <w:numId w:val="18"/>
        </w:numPr>
        <w:jc w:val="both"/>
        <w:rPr>
          <w:lang w:val="fr-FR"/>
        </w:rPr>
      </w:pPr>
      <w:r w:rsidRPr="008044BD">
        <w:rPr>
          <w:lang w:val="fr-FR"/>
        </w:rPr>
        <w:t>Synthèse de la documentation existante – S</w:t>
      </w:r>
      <w:r w:rsidRPr="000C2126">
        <w:rPr>
          <w:lang w:val="fr-FR"/>
        </w:rPr>
        <w:t>IA – Octobre 2020</w:t>
      </w:r>
    </w:p>
    <w:p w14:paraId="0A755766" w14:textId="77777777" w:rsidR="00303E75" w:rsidRDefault="00303E75" w:rsidP="00303E75">
      <w:pPr>
        <w:pStyle w:val="ListParagraph"/>
        <w:jc w:val="both"/>
        <w:rPr>
          <w:lang w:val="fr-FR"/>
        </w:rPr>
      </w:pPr>
    </w:p>
    <w:p w14:paraId="516760C5" w14:textId="4783E712" w:rsidR="00303E75" w:rsidRPr="00303E75" w:rsidRDefault="00303E75" w:rsidP="00303E75">
      <w:pPr>
        <w:pBdr>
          <w:bottom w:val="single" w:sz="4" w:space="1" w:color="auto"/>
        </w:pBdr>
        <w:rPr>
          <w:b/>
          <w:bCs/>
          <w:caps/>
          <w:lang w:val="fr-FR"/>
        </w:rPr>
      </w:pPr>
      <w:r>
        <w:rPr>
          <w:b/>
          <w:bCs/>
          <w:caps/>
          <w:lang w:val="fr-FR"/>
        </w:rPr>
        <w:t>PROFIL</w:t>
      </w:r>
    </w:p>
    <w:p w14:paraId="1EDE3ED6" w14:textId="4C08CB03" w:rsidR="00303E75" w:rsidRDefault="00303E75" w:rsidP="004E56D9">
      <w:pPr>
        <w:jc w:val="both"/>
        <w:rPr>
          <w:lang w:val="fr-FR"/>
        </w:rPr>
      </w:pPr>
      <w:r>
        <w:rPr>
          <w:lang w:val="fr-FR"/>
        </w:rPr>
        <w:t>Consultant individuel ou bureau d’étude</w:t>
      </w:r>
    </w:p>
    <w:p w14:paraId="24645154" w14:textId="74722D21" w:rsidR="009C5B81" w:rsidRDefault="009C5B81" w:rsidP="004E56D9">
      <w:pPr>
        <w:jc w:val="both"/>
        <w:rPr>
          <w:lang w:val="fr-FR"/>
        </w:rPr>
      </w:pPr>
      <w:r>
        <w:rPr>
          <w:lang w:val="fr-FR"/>
        </w:rPr>
        <w:t>Niveau Master</w:t>
      </w:r>
    </w:p>
    <w:p w14:paraId="3B0B9D00" w14:textId="27C3FA41" w:rsidR="00303E75" w:rsidRDefault="00303E75" w:rsidP="004E56D9">
      <w:pPr>
        <w:jc w:val="both"/>
        <w:rPr>
          <w:lang w:val="fr-FR"/>
        </w:rPr>
      </w:pPr>
      <w:r>
        <w:rPr>
          <w:lang w:val="fr-FR"/>
        </w:rPr>
        <w:t>Spécialiste en assainissement et en particulier de la GBV</w:t>
      </w:r>
    </w:p>
    <w:p w14:paraId="0F584C86" w14:textId="10AA1A3F" w:rsidR="00303E75" w:rsidRDefault="00C164DE" w:rsidP="004E56D9">
      <w:pPr>
        <w:jc w:val="both"/>
        <w:rPr>
          <w:lang w:val="fr-FR"/>
        </w:rPr>
      </w:pPr>
      <w:r>
        <w:rPr>
          <w:lang w:val="fr-FR"/>
        </w:rPr>
        <w:t>Solide expérience dans la mise en place et le suivi d’</w:t>
      </w:r>
      <w:r w:rsidR="00303E75">
        <w:rPr>
          <w:lang w:val="fr-FR"/>
        </w:rPr>
        <w:t xml:space="preserve">enquêtes-ménages </w:t>
      </w:r>
      <w:r>
        <w:rPr>
          <w:lang w:val="fr-FR"/>
        </w:rPr>
        <w:t>et études socio-économiques</w:t>
      </w:r>
    </w:p>
    <w:p w14:paraId="2FA11A14" w14:textId="09A6C875" w:rsidR="00303E75" w:rsidRDefault="00303E75" w:rsidP="004E56D9">
      <w:pPr>
        <w:jc w:val="both"/>
        <w:rPr>
          <w:lang w:val="fr-FR"/>
        </w:rPr>
      </w:pPr>
      <w:r>
        <w:rPr>
          <w:lang w:val="fr-FR"/>
        </w:rPr>
        <w:t>E</w:t>
      </w:r>
      <w:r w:rsidR="004E56D9">
        <w:rPr>
          <w:lang w:val="fr-FR"/>
        </w:rPr>
        <w:t xml:space="preserve">xpérience avérée </w:t>
      </w:r>
      <w:r>
        <w:rPr>
          <w:lang w:val="fr-FR"/>
        </w:rPr>
        <w:t xml:space="preserve">dans l’analyse des services de vidange, y compris l’évaluation des volumes de boues </w:t>
      </w:r>
      <w:proofErr w:type="gramStart"/>
      <w:r>
        <w:rPr>
          <w:lang w:val="fr-FR"/>
        </w:rPr>
        <w:t>dans</w:t>
      </w:r>
      <w:proofErr w:type="gramEnd"/>
      <w:r>
        <w:rPr>
          <w:lang w:val="fr-FR"/>
        </w:rPr>
        <w:t xml:space="preserve"> l’optique de la conception d’une infrastructure de traitement.</w:t>
      </w:r>
    </w:p>
    <w:p w14:paraId="5E64D8E4" w14:textId="7A8E24C4" w:rsidR="000B7FE7" w:rsidRDefault="000B7FE7" w:rsidP="004E56D9">
      <w:pPr>
        <w:jc w:val="both"/>
        <w:rPr>
          <w:lang w:val="fr-FR"/>
        </w:rPr>
      </w:pPr>
      <w:r>
        <w:rPr>
          <w:lang w:val="fr-FR"/>
        </w:rPr>
        <w:t>Capacité à évaluer les besoins et formuler des recommandations claires</w:t>
      </w:r>
      <w:r w:rsidR="00EC3D89">
        <w:rPr>
          <w:lang w:val="fr-FR"/>
        </w:rPr>
        <w:t>, pertinentes</w:t>
      </w:r>
      <w:r>
        <w:rPr>
          <w:lang w:val="fr-FR"/>
        </w:rPr>
        <w:t xml:space="preserve"> </w:t>
      </w:r>
      <w:r w:rsidR="00EC3D89">
        <w:rPr>
          <w:lang w:val="fr-FR"/>
        </w:rPr>
        <w:t>et réalistes pour une amélioration des services d’assainissement</w:t>
      </w:r>
    </w:p>
    <w:p w14:paraId="2C24F754" w14:textId="6FF84EFB" w:rsidR="00E53893" w:rsidRDefault="00E53893" w:rsidP="004E56D9">
      <w:pPr>
        <w:jc w:val="both"/>
        <w:rPr>
          <w:lang w:val="fr-FR"/>
        </w:rPr>
      </w:pPr>
      <w:r>
        <w:rPr>
          <w:lang w:val="fr-FR"/>
        </w:rPr>
        <w:t>La connaissance du contexte mauritanien et en particulier de Nouakchott est un plus</w:t>
      </w:r>
    </w:p>
    <w:p w14:paraId="03018838" w14:textId="05D2656E" w:rsidR="00E53893" w:rsidRDefault="00E53893" w:rsidP="004E56D9">
      <w:pPr>
        <w:jc w:val="both"/>
        <w:rPr>
          <w:lang w:val="fr-FR"/>
        </w:rPr>
      </w:pPr>
      <w:r>
        <w:rPr>
          <w:lang w:val="fr-FR"/>
        </w:rPr>
        <w:t>Aisance rédactionnelle et dans la communication avec les acteurs</w:t>
      </w:r>
    </w:p>
    <w:p w14:paraId="73DC8AFC" w14:textId="77777777" w:rsidR="004E56D9" w:rsidRPr="004E56D9" w:rsidRDefault="004E56D9" w:rsidP="004E56D9">
      <w:pPr>
        <w:jc w:val="both"/>
        <w:rPr>
          <w:lang w:val="fr-FR"/>
        </w:rPr>
      </w:pPr>
    </w:p>
    <w:sectPr w:rsidR="004E56D9" w:rsidRPr="004E56D9" w:rsidSect="0029665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9452B" w14:textId="77777777" w:rsidR="002E57B1" w:rsidRDefault="002E57B1" w:rsidP="0014276F">
      <w:pPr>
        <w:spacing w:after="0" w:line="240" w:lineRule="auto"/>
      </w:pPr>
      <w:r>
        <w:separator/>
      </w:r>
    </w:p>
  </w:endnote>
  <w:endnote w:type="continuationSeparator" w:id="0">
    <w:p w14:paraId="1AB6619F" w14:textId="77777777" w:rsidR="002E57B1" w:rsidRDefault="002E57B1" w:rsidP="00142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Schoolbook">
    <w:altName w:val="Century"/>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3214312"/>
      <w:docPartObj>
        <w:docPartGallery w:val="Page Numbers (Bottom of Page)"/>
        <w:docPartUnique/>
      </w:docPartObj>
    </w:sdtPr>
    <w:sdtEndPr>
      <w:rPr>
        <w:noProof/>
      </w:rPr>
    </w:sdtEndPr>
    <w:sdtContent>
      <w:p w14:paraId="4DDD4E59" w14:textId="0E3A35B8" w:rsidR="00A954BF" w:rsidRDefault="00A954BF">
        <w:pPr>
          <w:pStyle w:val="Footer"/>
          <w:jc w:val="center"/>
        </w:pPr>
        <w:r>
          <w:fldChar w:fldCharType="begin"/>
        </w:r>
        <w:r>
          <w:instrText xml:space="preserve"> PAGE   \* MERGEFORMAT </w:instrText>
        </w:r>
        <w:r>
          <w:fldChar w:fldCharType="separate"/>
        </w:r>
        <w:r w:rsidR="00353D99">
          <w:rPr>
            <w:noProof/>
          </w:rPr>
          <w:t>1</w:t>
        </w:r>
        <w:r>
          <w:rPr>
            <w:noProof/>
          </w:rPr>
          <w:fldChar w:fldCharType="end"/>
        </w:r>
      </w:p>
    </w:sdtContent>
  </w:sdt>
  <w:p w14:paraId="3201BC7B" w14:textId="77777777" w:rsidR="00A954BF" w:rsidRDefault="00A954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85885" w14:textId="77777777" w:rsidR="002E57B1" w:rsidRDefault="002E57B1" w:rsidP="0014276F">
      <w:pPr>
        <w:spacing w:after="0" w:line="240" w:lineRule="auto"/>
      </w:pPr>
      <w:r>
        <w:separator/>
      </w:r>
    </w:p>
  </w:footnote>
  <w:footnote w:type="continuationSeparator" w:id="0">
    <w:p w14:paraId="1561D3C2" w14:textId="77777777" w:rsidR="002E57B1" w:rsidRDefault="002E57B1" w:rsidP="0014276F">
      <w:pPr>
        <w:spacing w:after="0" w:line="240" w:lineRule="auto"/>
      </w:pPr>
      <w:r>
        <w:continuationSeparator/>
      </w:r>
    </w:p>
  </w:footnote>
  <w:footnote w:id="1">
    <w:p w14:paraId="2161C6A9" w14:textId="0442340E" w:rsidR="002A76B6" w:rsidRPr="002A76B6" w:rsidRDefault="002A76B6">
      <w:pPr>
        <w:pStyle w:val="FootnoteText"/>
        <w:rPr>
          <w:lang w:val="fr-CH"/>
        </w:rPr>
      </w:pPr>
      <w:r>
        <w:rPr>
          <w:rStyle w:val="FootnoteReference"/>
        </w:rPr>
        <w:footnoteRef/>
      </w:r>
      <w:r>
        <w:t xml:space="preserve"> </w:t>
      </w:r>
      <w:r>
        <w:rPr>
          <w:lang w:val="fr-FR"/>
        </w:rPr>
        <w:t>D</w:t>
      </w:r>
      <w:r w:rsidRPr="007B2D55">
        <w:rPr>
          <w:lang w:val="fr-FR"/>
        </w:rPr>
        <w:t>ans la limite et le respect de la privacité</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D6911"/>
    <w:multiLevelType w:val="hybridMultilevel"/>
    <w:tmpl w:val="5492BACE"/>
    <w:lvl w:ilvl="0" w:tplc="3C62CEC8">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744EB4"/>
    <w:multiLevelType w:val="hybridMultilevel"/>
    <w:tmpl w:val="7EF0445C"/>
    <w:lvl w:ilvl="0" w:tplc="E27643D4">
      <w:start w:val="13"/>
      <w:numFmt w:val="upperLetter"/>
      <w:lvlText w:val="%1."/>
      <w:lvlJc w:val="left"/>
      <w:pPr>
        <w:ind w:left="360" w:hanging="360"/>
      </w:pPr>
      <w:rPr>
        <w:rFonts w:ascii="Calibri" w:hAnsi="Calibri" w:cs="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4B70B77"/>
    <w:multiLevelType w:val="hybridMultilevel"/>
    <w:tmpl w:val="E920FC38"/>
    <w:lvl w:ilvl="0" w:tplc="B42A20F6">
      <w:start w:val="1"/>
      <w:numFmt w:val="bullet"/>
      <w:pStyle w:val="puce1"/>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5E43C4"/>
    <w:multiLevelType w:val="hybridMultilevel"/>
    <w:tmpl w:val="1378399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09B4C71"/>
    <w:multiLevelType w:val="hybridMultilevel"/>
    <w:tmpl w:val="A7B8DDEA"/>
    <w:lvl w:ilvl="0" w:tplc="03BA51FE">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3E569F4"/>
    <w:multiLevelType w:val="hybridMultilevel"/>
    <w:tmpl w:val="057A6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C91817"/>
    <w:multiLevelType w:val="hybridMultilevel"/>
    <w:tmpl w:val="DC44AC68"/>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7" w15:restartNumberingAfterBreak="0">
    <w:nsid w:val="1B6D5102"/>
    <w:multiLevelType w:val="hybridMultilevel"/>
    <w:tmpl w:val="D8E08422"/>
    <w:lvl w:ilvl="0" w:tplc="FC28450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BAB1B71"/>
    <w:multiLevelType w:val="hybridMultilevel"/>
    <w:tmpl w:val="7DCC8FEE"/>
    <w:lvl w:ilvl="0" w:tplc="F94C8C2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5268A2"/>
    <w:multiLevelType w:val="hybridMultilevel"/>
    <w:tmpl w:val="5AA4ACC8"/>
    <w:lvl w:ilvl="0" w:tplc="27DA236C">
      <w:start w:val="13"/>
      <w:numFmt w:val="upperLetter"/>
      <w:lvlText w:val="%1."/>
      <w:lvlJc w:val="left"/>
      <w:pPr>
        <w:ind w:left="720" w:hanging="360"/>
      </w:pPr>
      <w:rPr>
        <w:rFonts w:ascii="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D807BD"/>
    <w:multiLevelType w:val="hybridMultilevel"/>
    <w:tmpl w:val="BAE8F35C"/>
    <w:lvl w:ilvl="0" w:tplc="100C0001">
      <w:start w:val="1"/>
      <w:numFmt w:val="bullet"/>
      <w:lvlText w:val=""/>
      <w:lvlJc w:val="left"/>
      <w:pPr>
        <w:ind w:left="1358" w:hanging="360"/>
      </w:pPr>
      <w:rPr>
        <w:rFonts w:ascii="Symbol" w:hAnsi="Symbol" w:hint="default"/>
      </w:rPr>
    </w:lvl>
    <w:lvl w:ilvl="1" w:tplc="100C0003">
      <w:start w:val="1"/>
      <w:numFmt w:val="bullet"/>
      <w:lvlText w:val="o"/>
      <w:lvlJc w:val="left"/>
      <w:pPr>
        <w:ind w:left="2078" w:hanging="360"/>
      </w:pPr>
      <w:rPr>
        <w:rFonts w:ascii="Courier New" w:hAnsi="Courier New" w:cs="Courier New" w:hint="default"/>
      </w:rPr>
    </w:lvl>
    <w:lvl w:ilvl="2" w:tplc="100C0005" w:tentative="1">
      <w:start w:val="1"/>
      <w:numFmt w:val="bullet"/>
      <w:lvlText w:val=""/>
      <w:lvlJc w:val="left"/>
      <w:pPr>
        <w:ind w:left="2798" w:hanging="360"/>
      </w:pPr>
      <w:rPr>
        <w:rFonts w:ascii="Wingdings" w:hAnsi="Wingdings" w:hint="default"/>
      </w:rPr>
    </w:lvl>
    <w:lvl w:ilvl="3" w:tplc="100C0001" w:tentative="1">
      <w:start w:val="1"/>
      <w:numFmt w:val="bullet"/>
      <w:lvlText w:val=""/>
      <w:lvlJc w:val="left"/>
      <w:pPr>
        <w:ind w:left="3518" w:hanging="360"/>
      </w:pPr>
      <w:rPr>
        <w:rFonts w:ascii="Symbol" w:hAnsi="Symbol" w:hint="default"/>
      </w:rPr>
    </w:lvl>
    <w:lvl w:ilvl="4" w:tplc="100C0003" w:tentative="1">
      <w:start w:val="1"/>
      <w:numFmt w:val="bullet"/>
      <w:lvlText w:val="o"/>
      <w:lvlJc w:val="left"/>
      <w:pPr>
        <w:ind w:left="4238" w:hanging="360"/>
      </w:pPr>
      <w:rPr>
        <w:rFonts w:ascii="Courier New" w:hAnsi="Courier New" w:cs="Courier New" w:hint="default"/>
      </w:rPr>
    </w:lvl>
    <w:lvl w:ilvl="5" w:tplc="100C0005" w:tentative="1">
      <w:start w:val="1"/>
      <w:numFmt w:val="bullet"/>
      <w:lvlText w:val=""/>
      <w:lvlJc w:val="left"/>
      <w:pPr>
        <w:ind w:left="4958" w:hanging="360"/>
      </w:pPr>
      <w:rPr>
        <w:rFonts w:ascii="Wingdings" w:hAnsi="Wingdings" w:hint="default"/>
      </w:rPr>
    </w:lvl>
    <w:lvl w:ilvl="6" w:tplc="100C0001" w:tentative="1">
      <w:start w:val="1"/>
      <w:numFmt w:val="bullet"/>
      <w:lvlText w:val=""/>
      <w:lvlJc w:val="left"/>
      <w:pPr>
        <w:ind w:left="5678" w:hanging="360"/>
      </w:pPr>
      <w:rPr>
        <w:rFonts w:ascii="Symbol" w:hAnsi="Symbol" w:hint="default"/>
      </w:rPr>
    </w:lvl>
    <w:lvl w:ilvl="7" w:tplc="100C0003" w:tentative="1">
      <w:start w:val="1"/>
      <w:numFmt w:val="bullet"/>
      <w:lvlText w:val="o"/>
      <w:lvlJc w:val="left"/>
      <w:pPr>
        <w:ind w:left="6398" w:hanging="360"/>
      </w:pPr>
      <w:rPr>
        <w:rFonts w:ascii="Courier New" w:hAnsi="Courier New" w:cs="Courier New" w:hint="default"/>
      </w:rPr>
    </w:lvl>
    <w:lvl w:ilvl="8" w:tplc="100C0005" w:tentative="1">
      <w:start w:val="1"/>
      <w:numFmt w:val="bullet"/>
      <w:lvlText w:val=""/>
      <w:lvlJc w:val="left"/>
      <w:pPr>
        <w:ind w:left="7118" w:hanging="360"/>
      </w:pPr>
      <w:rPr>
        <w:rFonts w:ascii="Wingdings" w:hAnsi="Wingdings" w:hint="default"/>
      </w:rPr>
    </w:lvl>
  </w:abstractNum>
  <w:abstractNum w:abstractNumId="11" w15:restartNumberingAfterBreak="0">
    <w:nsid w:val="2A0006CC"/>
    <w:multiLevelType w:val="hybridMultilevel"/>
    <w:tmpl w:val="4DCE4AD0"/>
    <w:lvl w:ilvl="0" w:tplc="454CE67C">
      <w:start w:val="1"/>
      <w:numFmt w:val="bullet"/>
      <w:lvlText w:val=""/>
      <w:lvlJc w:val="left"/>
      <w:pPr>
        <w:ind w:left="720" w:hanging="360"/>
      </w:pPr>
      <w:rPr>
        <w:rFonts w:ascii="Wingdings" w:hAnsi="Wingdings" w:hint="default"/>
        <w:b/>
        <w:i w:val="0"/>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C090962"/>
    <w:multiLevelType w:val="hybridMultilevel"/>
    <w:tmpl w:val="41A24856"/>
    <w:lvl w:ilvl="0" w:tplc="100C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D6C5043"/>
    <w:multiLevelType w:val="hybridMultilevel"/>
    <w:tmpl w:val="B0E6E382"/>
    <w:lvl w:ilvl="0" w:tplc="65C6F9B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F40666"/>
    <w:multiLevelType w:val="hybridMultilevel"/>
    <w:tmpl w:val="18B2BCFC"/>
    <w:lvl w:ilvl="0" w:tplc="BAEA569C">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31E2111"/>
    <w:multiLevelType w:val="hybridMultilevel"/>
    <w:tmpl w:val="8CBA4940"/>
    <w:lvl w:ilvl="0" w:tplc="DC08DD26">
      <w:start w:val="5"/>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2855D0"/>
    <w:multiLevelType w:val="hybridMultilevel"/>
    <w:tmpl w:val="76DAF9A2"/>
    <w:lvl w:ilvl="0" w:tplc="108408D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EF13FBE"/>
    <w:multiLevelType w:val="hybridMultilevel"/>
    <w:tmpl w:val="B3C066FA"/>
    <w:lvl w:ilvl="0" w:tplc="FC28450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52B82440"/>
    <w:multiLevelType w:val="hybridMultilevel"/>
    <w:tmpl w:val="34C27E02"/>
    <w:lvl w:ilvl="0" w:tplc="B42A20F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24656B"/>
    <w:multiLevelType w:val="hybridMultilevel"/>
    <w:tmpl w:val="5558801A"/>
    <w:lvl w:ilvl="0" w:tplc="F8661B8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E57FF1"/>
    <w:multiLevelType w:val="hybridMultilevel"/>
    <w:tmpl w:val="01E05DB2"/>
    <w:lvl w:ilvl="0" w:tplc="6CC4047A">
      <w:start w:val="1"/>
      <w:numFmt w:val="decimal"/>
      <w:lvlText w:val="%1."/>
      <w:lvlJc w:val="left"/>
      <w:pPr>
        <w:ind w:left="1353" w:hanging="360"/>
      </w:pPr>
      <w:rPr>
        <w:rFonts w:hint="default"/>
      </w:rPr>
    </w:lvl>
    <w:lvl w:ilvl="1" w:tplc="040C0019" w:tentative="1">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21" w15:restartNumberingAfterBreak="0">
    <w:nsid w:val="69250660"/>
    <w:multiLevelType w:val="multilevel"/>
    <w:tmpl w:val="629A2E46"/>
    <w:lvl w:ilvl="0">
      <w:start w:val="1"/>
      <w:numFmt w:val="decimal"/>
      <w:pStyle w:val="APPENDIX"/>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6C30384A"/>
    <w:multiLevelType w:val="hybridMultilevel"/>
    <w:tmpl w:val="99FE3EA6"/>
    <w:lvl w:ilvl="0" w:tplc="BFD00C9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DC66D79"/>
    <w:multiLevelType w:val="hybridMultilevel"/>
    <w:tmpl w:val="75A0EAF4"/>
    <w:lvl w:ilvl="0" w:tplc="F4028E2A">
      <w:start w:val="10"/>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3"/>
  </w:num>
  <w:num w:numId="3">
    <w:abstractNumId w:val="8"/>
  </w:num>
  <w:num w:numId="4">
    <w:abstractNumId w:val="23"/>
  </w:num>
  <w:num w:numId="5">
    <w:abstractNumId w:val="0"/>
  </w:num>
  <w:num w:numId="6">
    <w:abstractNumId w:val="11"/>
  </w:num>
  <w:num w:numId="7">
    <w:abstractNumId w:val="1"/>
  </w:num>
  <w:num w:numId="8">
    <w:abstractNumId w:val="9"/>
  </w:num>
  <w:num w:numId="9">
    <w:abstractNumId w:val="15"/>
  </w:num>
  <w:num w:numId="10">
    <w:abstractNumId w:val="16"/>
  </w:num>
  <w:num w:numId="11">
    <w:abstractNumId w:val="22"/>
  </w:num>
  <w:num w:numId="12">
    <w:abstractNumId w:val="4"/>
  </w:num>
  <w:num w:numId="13">
    <w:abstractNumId w:val="3"/>
  </w:num>
  <w:num w:numId="14">
    <w:abstractNumId w:val="7"/>
  </w:num>
  <w:num w:numId="15">
    <w:abstractNumId w:val="17"/>
  </w:num>
  <w:num w:numId="16">
    <w:abstractNumId w:val="20"/>
  </w:num>
  <w:num w:numId="17">
    <w:abstractNumId w:val="10"/>
  </w:num>
  <w:num w:numId="18">
    <w:abstractNumId w:val="5"/>
  </w:num>
  <w:num w:numId="19">
    <w:abstractNumId w:val="18"/>
  </w:num>
  <w:num w:numId="20">
    <w:abstractNumId w:val="12"/>
  </w:num>
  <w:num w:numId="21">
    <w:abstractNumId w:val="19"/>
  </w:num>
  <w:num w:numId="22">
    <w:abstractNumId w:val="18"/>
  </w:num>
  <w:num w:numId="23">
    <w:abstractNumId w:val="2"/>
  </w:num>
  <w:num w:numId="24">
    <w:abstractNumId w:val="2"/>
  </w:num>
  <w:num w:numId="25">
    <w:abstractNumId w:val="2"/>
  </w:num>
  <w:num w:numId="26">
    <w:abstractNumId w:val="2"/>
  </w:num>
  <w:num w:numId="27">
    <w:abstractNumId w:val="21"/>
  </w:num>
  <w:num w:numId="28">
    <w:abstractNumId w:val="6"/>
  </w:num>
  <w:num w:numId="29">
    <w:abstractNumId w:val="2"/>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EwsTAwNzcxNzc0MDdT0lEKTi0uzszPAykwNKgFANXvAmAtAAAA"/>
  </w:docVars>
  <w:rsids>
    <w:rsidRoot w:val="006357BF"/>
    <w:rsid w:val="00016BF5"/>
    <w:rsid w:val="0002103D"/>
    <w:rsid w:val="00036A32"/>
    <w:rsid w:val="0004797E"/>
    <w:rsid w:val="00067EB5"/>
    <w:rsid w:val="00080889"/>
    <w:rsid w:val="000938AC"/>
    <w:rsid w:val="000A6D94"/>
    <w:rsid w:val="000B0E70"/>
    <w:rsid w:val="000B6FAA"/>
    <w:rsid w:val="000B761B"/>
    <w:rsid w:val="000B7FE7"/>
    <w:rsid w:val="000C2126"/>
    <w:rsid w:val="000C79C3"/>
    <w:rsid w:val="000E3571"/>
    <w:rsid w:val="000F57B5"/>
    <w:rsid w:val="0014276F"/>
    <w:rsid w:val="00143E13"/>
    <w:rsid w:val="00150D61"/>
    <w:rsid w:val="00155445"/>
    <w:rsid w:val="001709FC"/>
    <w:rsid w:val="00193BA4"/>
    <w:rsid w:val="001C63C5"/>
    <w:rsid w:val="001D6EEC"/>
    <w:rsid w:val="001F180E"/>
    <w:rsid w:val="00214309"/>
    <w:rsid w:val="00221097"/>
    <w:rsid w:val="00222D51"/>
    <w:rsid w:val="0023276B"/>
    <w:rsid w:val="0023401C"/>
    <w:rsid w:val="00270B6E"/>
    <w:rsid w:val="00274ECB"/>
    <w:rsid w:val="00286960"/>
    <w:rsid w:val="00296659"/>
    <w:rsid w:val="002A5537"/>
    <w:rsid w:val="002A76B6"/>
    <w:rsid w:val="002B1A05"/>
    <w:rsid w:val="002E57B1"/>
    <w:rsid w:val="00303E75"/>
    <w:rsid w:val="0030546D"/>
    <w:rsid w:val="00305F20"/>
    <w:rsid w:val="00323D96"/>
    <w:rsid w:val="00353D99"/>
    <w:rsid w:val="003579C7"/>
    <w:rsid w:val="00363AB7"/>
    <w:rsid w:val="00363D97"/>
    <w:rsid w:val="00387B18"/>
    <w:rsid w:val="003D11F6"/>
    <w:rsid w:val="003D22DE"/>
    <w:rsid w:val="003D3508"/>
    <w:rsid w:val="003D5815"/>
    <w:rsid w:val="0040612E"/>
    <w:rsid w:val="00440811"/>
    <w:rsid w:val="00443EA0"/>
    <w:rsid w:val="00462A0C"/>
    <w:rsid w:val="00476F25"/>
    <w:rsid w:val="00486D04"/>
    <w:rsid w:val="00492D29"/>
    <w:rsid w:val="004A56BB"/>
    <w:rsid w:val="004E2662"/>
    <w:rsid w:val="004E56D9"/>
    <w:rsid w:val="004E5848"/>
    <w:rsid w:val="00505B28"/>
    <w:rsid w:val="00507FCD"/>
    <w:rsid w:val="0054291D"/>
    <w:rsid w:val="00542AAC"/>
    <w:rsid w:val="00545045"/>
    <w:rsid w:val="00551395"/>
    <w:rsid w:val="00556222"/>
    <w:rsid w:val="005A1E6D"/>
    <w:rsid w:val="005B0979"/>
    <w:rsid w:val="005B5B9E"/>
    <w:rsid w:val="005B6A8D"/>
    <w:rsid w:val="005C3792"/>
    <w:rsid w:val="005C5C1E"/>
    <w:rsid w:val="005E2CDE"/>
    <w:rsid w:val="00600878"/>
    <w:rsid w:val="00602E6B"/>
    <w:rsid w:val="00624582"/>
    <w:rsid w:val="006312DE"/>
    <w:rsid w:val="006357BF"/>
    <w:rsid w:val="006771A7"/>
    <w:rsid w:val="006836F7"/>
    <w:rsid w:val="00687E8E"/>
    <w:rsid w:val="006A28FA"/>
    <w:rsid w:val="006C4AFE"/>
    <w:rsid w:val="006D1B60"/>
    <w:rsid w:val="006D418A"/>
    <w:rsid w:val="006F0C07"/>
    <w:rsid w:val="0073453F"/>
    <w:rsid w:val="00764D17"/>
    <w:rsid w:val="00774A54"/>
    <w:rsid w:val="00775341"/>
    <w:rsid w:val="00775BCD"/>
    <w:rsid w:val="007778B3"/>
    <w:rsid w:val="0078010D"/>
    <w:rsid w:val="00793294"/>
    <w:rsid w:val="007B2D55"/>
    <w:rsid w:val="007B46FA"/>
    <w:rsid w:val="007C00B9"/>
    <w:rsid w:val="008044BD"/>
    <w:rsid w:val="00807A2E"/>
    <w:rsid w:val="008279C2"/>
    <w:rsid w:val="00830253"/>
    <w:rsid w:val="00833AC0"/>
    <w:rsid w:val="00840B41"/>
    <w:rsid w:val="00841E6C"/>
    <w:rsid w:val="0084635D"/>
    <w:rsid w:val="00851FF3"/>
    <w:rsid w:val="00874EB3"/>
    <w:rsid w:val="008833F7"/>
    <w:rsid w:val="00883D3F"/>
    <w:rsid w:val="008846CC"/>
    <w:rsid w:val="008A2752"/>
    <w:rsid w:val="008B6BB9"/>
    <w:rsid w:val="008B6CE9"/>
    <w:rsid w:val="008D1983"/>
    <w:rsid w:val="008E3B83"/>
    <w:rsid w:val="008F65B0"/>
    <w:rsid w:val="00916545"/>
    <w:rsid w:val="00931D7B"/>
    <w:rsid w:val="0094122B"/>
    <w:rsid w:val="009523D6"/>
    <w:rsid w:val="009745A2"/>
    <w:rsid w:val="00977AC4"/>
    <w:rsid w:val="00977C56"/>
    <w:rsid w:val="009929FF"/>
    <w:rsid w:val="00993337"/>
    <w:rsid w:val="009A43C6"/>
    <w:rsid w:val="009A6591"/>
    <w:rsid w:val="009C5B81"/>
    <w:rsid w:val="009C6DFD"/>
    <w:rsid w:val="009E0A14"/>
    <w:rsid w:val="009E33F7"/>
    <w:rsid w:val="009F1264"/>
    <w:rsid w:val="009F405E"/>
    <w:rsid w:val="00A10B17"/>
    <w:rsid w:val="00A12053"/>
    <w:rsid w:val="00A82481"/>
    <w:rsid w:val="00A8770A"/>
    <w:rsid w:val="00A954BF"/>
    <w:rsid w:val="00AA09B7"/>
    <w:rsid w:val="00AD1716"/>
    <w:rsid w:val="00AD4441"/>
    <w:rsid w:val="00B051B8"/>
    <w:rsid w:val="00B07682"/>
    <w:rsid w:val="00B134DE"/>
    <w:rsid w:val="00B16CBB"/>
    <w:rsid w:val="00B35672"/>
    <w:rsid w:val="00B35EF6"/>
    <w:rsid w:val="00B50190"/>
    <w:rsid w:val="00B55F1E"/>
    <w:rsid w:val="00B6164C"/>
    <w:rsid w:val="00B62170"/>
    <w:rsid w:val="00B67877"/>
    <w:rsid w:val="00B67910"/>
    <w:rsid w:val="00BA32A8"/>
    <w:rsid w:val="00BB3745"/>
    <w:rsid w:val="00BD0DA6"/>
    <w:rsid w:val="00BF2FC5"/>
    <w:rsid w:val="00BF7EFA"/>
    <w:rsid w:val="00C164DE"/>
    <w:rsid w:val="00C21F8A"/>
    <w:rsid w:val="00C53B92"/>
    <w:rsid w:val="00C619CD"/>
    <w:rsid w:val="00C712E8"/>
    <w:rsid w:val="00C90DAA"/>
    <w:rsid w:val="00CA58AA"/>
    <w:rsid w:val="00CA5933"/>
    <w:rsid w:val="00CA74BF"/>
    <w:rsid w:val="00CB0C0B"/>
    <w:rsid w:val="00CB1E52"/>
    <w:rsid w:val="00CF002E"/>
    <w:rsid w:val="00CF73CC"/>
    <w:rsid w:val="00D14AEF"/>
    <w:rsid w:val="00D400AF"/>
    <w:rsid w:val="00D50473"/>
    <w:rsid w:val="00D838F7"/>
    <w:rsid w:val="00D94633"/>
    <w:rsid w:val="00DA7F71"/>
    <w:rsid w:val="00DC25E0"/>
    <w:rsid w:val="00DD27EB"/>
    <w:rsid w:val="00DF2980"/>
    <w:rsid w:val="00DF2A64"/>
    <w:rsid w:val="00E344B5"/>
    <w:rsid w:val="00E47108"/>
    <w:rsid w:val="00E53893"/>
    <w:rsid w:val="00E84A09"/>
    <w:rsid w:val="00EA4596"/>
    <w:rsid w:val="00EA7545"/>
    <w:rsid w:val="00EC3D89"/>
    <w:rsid w:val="00EC63FF"/>
    <w:rsid w:val="00ED3028"/>
    <w:rsid w:val="00EE113E"/>
    <w:rsid w:val="00EE3FAC"/>
    <w:rsid w:val="00F03B24"/>
    <w:rsid w:val="00F04D4C"/>
    <w:rsid w:val="00F13358"/>
    <w:rsid w:val="00F2729E"/>
    <w:rsid w:val="00F348CF"/>
    <w:rsid w:val="00F55C9C"/>
    <w:rsid w:val="00F60822"/>
    <w:rsid w:val="00F95BA1"/>
    <w:rsid w:val="00FA12AC"/>
    <w:rsid w:val="00FA4777"/>
    <w:rsid w:val="00FB4095"/>
    <w:rsid w:val="00FB5CC5"/>
    <w:rsid w:val="00FC02BE"/>
    <w:rsid w:val="00FE08B6"/>
    <w:rsid w:val="00FE5EBA"/>
  </w:rsids>
  <m:mathPr>
    <m:mathFont m:val="Cambria Math"/>
    <m:brkBin m:val="before"/>
    <m:brkBinSub m:val="--"/>
    <m:smallFrac m:val="0"/>
    <m:dispDef/>
    <m:lMargin m:val="0"/>
    <m:rMargin m:val="0"/>
    <m:defJc m:val="centerGroup"/>
    <m:wrapIndent m:val="1440"/>
    <m:intLim m:val="subSup"/>
    <m:naryLim m:val="undOvr"/>
  </m:mathPr>
  <w:themeFontLang w:val="fr-FR"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D57439"/>
  <w15:docId w15:val="{89B84018-4C82-46C4-A11E-F18FD249B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 List tir Char,liste 1 Char,puce 1 Char,Puces Char,References Char,style11 Char,Liste 1 Char,Titre1 Char,figure Char,Liste couleur - Accent 11 Char,heading 4 Char"/>
    <w:basedOn w:val="DefaultParagraphFont"/>
    <w:link w:val="ListParagraph"/>
    <w:uiPriority w:val="34"/>
    <w:locked/>
    <w:rsid w:val="006357BF"/>
  </w:style>
  <w:style w:type="paragraph" w:styleId="ListParagraph">
    <w:name w:val="List Paragraph"/>
    <w:aliases w:val="- List tir,liste 1,puce 1,Puces,References,style11,Liste 1,Titre1,figure,Liste couleur - Accent 11,heading 4"/>
    <w:basedOn w:val="Normal"/>
    <w:link w:val="ListParagraphChar"/>
    <w:uiPriority w:val="34"/>
    <w:qFormat/>
    <w:rsid w:val="006357BF"/>
    <w:pPr>
      <w:spacing w:line="256" w:lineRule="auto"/>
      <w:ind w:left="720"/>
      <w:contextualSpacing/>
    </w:pPr>
  </w:style>
  <w:style w:type="table" w:styleId="TableGrid">
    <w:name w:val="Table Grid"/>
    <w:basedOn w:val="TableNormal"/>
    <w:uiPriority w:val="59"/>
    <w:rsid w:val="00067EB5"/>
    <w:pPr>
      <w:spacing w:after="0" w:line="240" w:lineRule="auto"/>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DF2A64"/>
    <w:rPr>
      <w:sz w:val="16"/>
      <w:szCs w:val="16"/>
    </w:rPr>
  </w:style>
  <w:style w:type="paragraph" w:styleId="CommentText">
    <w:name w:val="annotation text"/>
    <w:basedOn w:val="Normal"/>
    <w:link w:val="CommentTextChar"/>
    <w:rsid w:val="00DF2A64"/>
    <w:pPr>
      <w:spacing w:after="0" w:line="240" w:lineRule="auto"/>
    </w:pPr>
    <w:rPr>
      <w:rFonts w:ascii="Century Schoolbook" w:eastAsia="Times New Roman" w:hAnsi="Century Schoolbook" w:cs="Times New Roman"/>
      <w:sz w:val="20"/>
      <w:szCs w:val="20"/>
      <w:lang w:val="fr-FR" w:eastAsia="fr-FR"/>
    </w:rPr>
  </w:style>
  <w:style w:type="character" w:customStyle="1" w:styleId="CommentTextChar">
    <w:name w:val="Comment Text Char"/>
    <w:basedOn w:val="DefaultParagraphFont"/>
    <w:link w:val="CommentText"/>
    <w:rsid w:val="00DF2A64"/>
    <w:rPr>
      <w:rFonts w:ascii="Century Schoolbook" w:eastAsia="Times New Roman" w:hAnsi="Century Schoolbook" w:cs="Times New Roman"/>
      <w:sz w:val="20"/>
      <w:szCs w:val="20"/>
      <w:lang w:val="fr-FR" w:eastAsia="fr-FR"/>
    </w:rPr>
  </w:style>
  <w:style w:type="paragraph" w:styleId="BalloonText">
    <w:name w:val="Balloon Text"/>
    <w:basedOn w:val="Normal"/>
    <w:link w:val="BalloonTextChar"/>
    <w:uiPriority w:val="99"/>
    <w:semiHidden/>
    <w:unhideWhenUsed/>
    <w:rsid w:val="00DF2A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2A64"/>
    <w:rPr>
      <w:rFonts w:ascii="Segoe UI" w:hAnsi="Segoe UI" w:cs="Segoe UI"/>
      <w:sz w:val="18"/>
      <w:szCs w:val="18"/>
    </w:rPr>
  </w:style>
  <w:style w:type="paragraph" w:styleId="NormalWeb">
    <w:name w:val="Normal (Web)"/>
    <w:basedOn w:val="Normal"/>
    <w:uiPriority w:val="99"/>
    <w:semiHidden/>
    <w:unhideWhenUsed/>
    <w:rsid w:val="0014276F"/>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styleId="Header">
    <w:name w:val="header"/>
    <w:basedOn w:val="Normal"/>
    <w:link w:val="HeaderChar"/>
    <w:uiPriority w:val="99"/>
    <w:unhideWhenUsed/>
    <w:rsid w:val="0014276F"/>
    <w:pPr>
      <w:tabs>
        <w:tab w:val="center" w:pos="4536"/>
        <w:tab w:val="right" w:pos="9072"/>
      </w:tabs>
      <w:spacing w:after="0" w:line="240" w:lineRule="auto"/>
    </w:pPr>
  </w:style>
  <w:style w:type="character" w:customStyle="1" w:styleId="HeaderChar">
    <w:name w:val="Header Char"/>
    <w:basedOn w:val="DefaultParagraphFont"/>
    <w:link w:val="Header"/>
    <w:uiPriority w:val="99"/>
    <w:rsid w:val="0014276F"/>
  </w:style>
  <w:style w:type="paragraph" w:styleId="Footer">
    <w:name w:val="footer"/>
    <w:basedOn w:val="Normal"/>
    <w:link w:val="FooterChar"/>
    <w:uiPriority w:val="99"/>
    <w:unhideWhenUsed/>
    <w:rsid w:val="0014276F"/>
    <w:pPr>
      <w:tabs>
        <w:tab w:val="center" w:pos="4536"/>
        <w:tab w:val="right" w:pos="9072"/>
      </w:tabs>
      <w:spacing w:after="0" w:line="240" w:lineRule="auto"/>
    </w:pPr>
  </w:style>
  <w:style w:type="character" w:customStyle="1" w:styleId="FooterChar">
    <w:name w:val="Footer Char"/>
    <w:basedOn w:val="DefaultParagraphFont"/>
    <w:link w:val="Footer"/>
    <w:uiPriority w:val="99"/>
    <w:rsid w:val="0014276F"/>
  </w:style>
  <w:style w:type="character" w:styleId="Hyperlink">
    <w:name w:val="Hyperlink"/>
    <w:basedOn w:val="DefaultParagraphFont"/>
    <w:uiPriority w:val="99"/>
    <w:unhideWhenUsed/>
    <w:rsid w:val="005B5B9E"/>
    <w:rPr>
      <w:color w:val="0563C1" w:themeColor="hyperlink"/>
      <w:u w:val="single"/>
    </w:rPr>
  </w:style>
  <w:style w:type="table" w:customStyle="1" w:styleId="Grilledetableauclaire1">
    <w:name w:val="Grille de tableau claire1"/>
    <w:basedOn w:val="TableNormal"/>
    <w:uiPriority w:val="40"/>
    <w:rsid w:val="005B5B9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uiPriority w:val="1"/>
    <w:qFormat/>
    <w:rsid w:val="005B5B9E"/>
    <w:pPr>
      <w:autoSpaceDE w:val="0"/>
      <w:autoSpaceDN w:val="0"/>
      <w:adjustRightInd w:val="0"/>
      <w:spacing w:after="0" w:line="240" w:lineRule="auto"/>
      <w:jc w:val="both"/>
    </w:pPr>
    <w:rPr>
      <w:rFonts w:cstheme="minorHAnsi"/>
      <w:szCs w:val="24"/>
      <w:lang w:val="fr-FR"/>
    </w:rPr>
  </w:style>
  <w:style w:type="paragraph" w:styleId="Title">
    <w:name w:val="Title"/>
    <w:basedOn w:val="Normal"/>
    <w:next w:val="Normal"/>
    <w:link w:val="TitleChar"/>
    <w:uiPriority w:val="10"/>
    <w:qFormat/>
    <w:rsid w:val="005B5B9E"/>
    <w:pPr>
      <w:pBdr>
        <w:bottom w:val="single" w:sz="4" w:space="1" w:color="2F5496" w:themeColor="accent1" w:themeShade="BF"/>
      </w:pBdr>
      <w:autoSpaceDE w:val="0"/>
      <w:autoSpaceDN w:val="0"/>
      <w:adjustRightInd w:val="0"/>
      <w:spacing w:after="0" w:line="240" w:lineRule="auto"/>
      <w:contextualSpacing/>
      <w:jc w:val="both"/>
    </w:pPr>
    <w:rPr>
      <w:rFonts w:asciiTheme="majorHAnsi" w:eastAsiaTheme="majorEastAsia" w:hAnsiTheme="majorHAnsi" w:cstheme="majorBidi"/>
      <w:b/>
      <w:color w:val="2F5496" w:themeColor="accent1" w:themeShade="BF"/>
      <w:spacing w:val="-10"/>
      <w:kern w:val="28"/>
      <w:sz w:val="40"/>
      <w:szCs w:val="56"/>
      <w:lang w:val="fr-FR"/>
    </w:rPr>
  </w:style>
  <w:style w:type="character" w:customStyle="1" w:styleId="TitleChar">
    <w:name w:val="Title Char"/>
    <w:basedOn w:val="DefaultParagraphFont"/>
    <w:link w:val="Title"/>
    <w:uiPriority w:val="10"/>
    <w:rsid w:val="005B5B9E"/>
    <w:rPr>
      <w:rFonts w:asciiTheme="majorHAnsi" w:eastAsiaTheme="majorEastAsia" w:hAnsiTheme="majorHAnsi" w:cstheme="majorBidi"/>
      <w:b/>
      <w:color w:val="2F5496" w:themeColor="accent1" w:themeShade="BF"/>
      <w:spacing w:val="-10"/>
      <w:kern w:val="28"/>
      <w:sz w:val="40"/>
      <w:szCs w:val="56"/>
      <w:lang w:val="fr-FR"/>
    </w:rPr>
  </w:style>
  <w:style w:type="paragraph" w:customStyle="1" w:styleId="Default">
    <w:name w:val="Default"/>
    <w:rsid w:val="00507FCD"/>
    <w:pPr>
      <w:autoSpaceDE w:val="0"/>
      <w:autoSpaceDN w:val="0"/>
      <w:adjustRightInd w:val="0"/>
      <w:spacing w:after="0" w:line="240" w:lineRule="auto"/>
    </w:pPr>
    <w:rPr>
      <w:rFonts w:ascii="Calibri" w:hAnsi="Calibri" w:cs="Calibri"/>
      <w:color w:val="000000"/>
      <w:sz w:val="24"/>
      <w:szCs w:val="24"/>
      <w:lang w:val="fr-FR"/>
    </w:rPr>
  </w:style>
  <w:style w:type="paragraph" w:styleId="BodyText">
    <w:name w:val="Body Text"/>
    <w:basedOn w:val="Normal"/>
    <w:link w:val="BodyTextChar"/>
    <w:rsid w:val="00556222"/>
    <w:pPr>
      <w:suppressAutoHyphens/>
      <w:spacing w:after="120" w:line="240" w:lineRule="auto"/>
      <w:jc w:val="both"/>
    </w:pPr>
    <w:rPr>
      <w:rFonts w:ascii="Arial" w:eastAsia="Times New Roman" w:hAnsi="Arial" w:cs="Times New Roman"/>
      <w:sz w:val="24"/>
      <w:szCs w:val="20"/>
      <w:lang w:val="fr-FR" w:eastAsia="fr-FR"/>
    </w:rPr>
  </w:style>
  <w:style w:type="character" w:customStyle="1" w:styleId="BodyTextChar">
    <w:name w:val="Body Text Char"/>
    <w:basedOn w:val="DefaultParagraphFont"/>
    <w:link w:val="BodyText"/>
    <w:rsid w:val="00556222"/>
    <w:rPr>
      <w:rFonts w:ascii="Arial" w:eastAsia="Times New Roman" w:hAnsi="Arial" w:cs="Times New Roman"/>
      <w:sz w:val="24"/>
      <w:szCs w:val="20"/>
      <w:lang w:val="fr-FR" w:eastAsia="fr-FR"/>
    </w:rPr>
  </w:style>
  <w:style w:type="paragraph" w:styleId="CommentSubject">
    <w:name w:val="annotation subject"/>
    <w:basedOn w:val="CommentText"/>
    <w:next w:val="CommentText"/>
    <w:link w:val="CommentSubjectChar"/>
    <w:uiPriority w:val="99"/>
    <w:semiHidden/>
    <w:unhideWhenUsed/>
    <w:rsid w:val="00FC02BE"/>
    <w:pPr>
      <w:spacing w:after="160"/>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FC02BE"/>
    <w:rPr>
      <w:rFonts w:ascii="Century Schoolbook" w:eastAsia="Times New Roman" w:hAnsi="Century Schoolbook" w:cs="Times New Roman"/>
      <w:b/>
      <w:bCs/>
      <w:sz w:val="20"/>
      <w:szCs w:val="20"/>
      <w:lang w:val="fr-FR" w:eastAsia="fr-FR"/>
    </w:rPr>
  </w:style>
  <w:style w:type="paragraph" w:customStyle="1" w:styleId="puce1">
    <w:name w:val="puce1"/>
    <w:basedOn w:val="Normal"/>
    <w:rsid w:val="00B35672"/>
    <w:pPr>
      <w:numPr>
        <w:numId w:val="23"/>
      </w:numPr>
    </w:pPr>
  </w:style>
  <w:style w:type="paragraph" w:styleId="FootnoteText">
    <w:name w:val="footnote text"/>
    <w:basedOn w:val="Normal"/>
    <w:link w:val="FootnoteTextChar"/>
    <w:uiPriority w:val="99"/>
    <w:semiHidden/>
    <w:unhideWhenUsed/>
    <w:rsid w:val="002A76B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A76B6"/>
    <w:rPr>
      <w:sz w:val="20"/>
      <w:szCs w:val="20"/>
    </w:rPr>
  </w:style>
  <w:style w:type="character" w:styleId="FootnoteReference">
    <w:name w:val="footnote reference"/>
    <w:basedOn w:val="DefaultParagraphFont"/>
    <w:uiPriority w:val="99"/>
    <w:semiHidden/>
    <w:unhideWhenUsed/>
    <w:rsid w:val="002A76B6"/>
    <w:rPr>
      <w:vertAlign w:val="superscript"/>
    </w:rPr>
  </w:style>
  <w:style w:type="paragraph" w:styleId="TOC2">
    <w:name w:val="toc 2"/>
    <w:basedOn w:val="Normal"/>
    <w:next w:val="Normal"/>
    <w:autoRedefine/>
    <w:uiPriority w:val="39"/>
    <w:rsid w:val="00A954BF"/>
    <w:pPr>
      <w:tabs>
        <w:tab w:val="left" w:pos="1400"/>
        <w:tab w:val="right" w:leader="dot" w:pos="9060"/>
      </w:tabs>
      <w:spacing w:before="120" w:after="0" w:line="240" w:lineRule="auto"/>
      <w:ind w:left="709"/>
    </w:pPr>
    <w:rPr>
      <w:rFonts w:eastAsia="Times New Roman" w:cstheme="minorHAnsi"/>
      <w:bCs/>
      <w:lang w:val="fr-FR" w:eastAsia="fr-FR"/>
    </w:rPr>
  </w:style>
  <w:style w:type="paragraph" w:customStyle="1" w:styleId="APPENDIX">
    <w:name w:val="APPENDIX"/>
    <w:basedOn w:val="NoSpacing"/>
    <w:qFormat/>
    <w:rsid w:val="00A954BF"/>
    <w:pPr>
      <w:framePr w:wrap="around" w:vAnchor="text" w:hAnchor="text" w:y="1"/>
      <w:numPr>
        <w:numId w:val="27"/>
      </w:numPr>
      <w:autoSpaceDE/>
      <w:autoSpaceDN/>
      <w:adjustRightInd/>
      <w:spacing w:line="276" w:lineRule="auto"/>
      <w:ind w:left="357" w:hanging="357"/>
    </w:pPr>
    <w:rPr>
      <w:rFonts w:ascii="Arial" w:hAnsi="Arial" w:cs="Arial"/>
      <w:b/>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197197">
      <w:bodyDiv w:val="1"/>
      <w:marLeft w:val="0"/>
      <w:marRight w:val="0"/>
      <w:marTop w:val="0"/>
      <w:marBottom w:val="0"/>
      <w:divBdr>
        <w:top w:val="none" w:sz="0" w:space="0" w:color="auto"/>
        <w:left w:val="none" w:sz="0" w:space="0" w:color="auto"/>
        <w:bottom w:val="none" w:sz="0" w:space="0" w:color="auto"/>
        <w:right w:val="none" w:sz="0" w:space="0" w:color="auto"/>
      </w:divBdr>
    </w:div>
    <w:div w:id="2052798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BB808A-0CF0-4C69-9DB1-5400C08C3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1785</Words>
  <Characters>10179</Characters>
  <Application>Microsoft Office Word</Application>
  <DocSecurity>0</DocSecurity>
  <Lines>84</Lines>
  <Paragraphs>23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af@ecopsis.com</dc:creator>
  <cp:keywords/>
  <dc:description/>
  <cp:lastModifiedBy>Amédé Ferré</cp:lastModifiedBy>
  <cp:revision>10</cp:revision>
  <cp:lastPrinted>2021-06-21T07:08:00Z</cp:lastPrinted>
  <dcterms:created xsi:type="dcterms:W3CDTF">2021-06-17T14:56:00Z</dcterms:created>
  <dcterms:modified xsi:type="dcterms:W3CDTF">2021-06-21T07:08:00Z</dcterms:modified>
</cp:coreProperties>
</file>