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F9E27" w14:textId="567456D4" w:rsidR="000A7E77" w:rsidRPr="00156BFD" w:rsidRDefault="002F02A4" w:rsidP="000A7E77">
      <w:pPr>
        <w:jc w:val="center"/>
        <w:rPr>
          <w:rFonts w:ascii="Arial Narrow" w:hAnsi="Arial Narrow" w:cstheme="minorHAnsi"/>
          <w:b/>
          <w:sz w:val="22"/>
          <w:szCs w:val="22"/>
        </w:rPr>
      </w:pPr>
      <w:r>
        <w:rPr>
          <w:rFonts w:ascii="Arial Narrow" w:hAnsi="Arial Narrow" w:cstheme="minorHAnsi"/>
          <w:b/>
          <w:noProof/>
          <w:sz w:val="36"/>
          <w:szCs w:val="22"/>
        </w:rPr>
        <w:drawing>
          <wp:anchor distT="0" distB="0" distL="114300" distR="114300" simplePos="0" relativeHeight="251659264" behindDoc="0" locked="0" layoutInCell="1" allowOverlap="1" wp14:anchorId="233D192F" wp14:editId="457085BA">
            <wp:simplePos x="0" y="0"/>
            <wp:positionH relativeFrom="margin">
              <wp:posOffset>4617720</wp:posOffset>
            </wp:positionH>
            <wp:positionV relativeFrom="margin">
              <wp:posOffset>-333375</wp:posOffset>
            </wp:positionV>
            <wp:extent cx="1562100" cy="1061382"/>
            <wp:effectExtent l="0" t="0" r="0" b="5715"/>
            <wp:wrapSquare wrapText="bothSides"/>
            <wp:docPr id="2030693825" name="Image 2" descr="Une image contenant drapeau, symbole, étoi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93825" name="Image 2" descr="Une image contenant drapeau, symbole, étoi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2100" cy="1061382"/>
                    </a:xfrm>
                    <a:prstGeom prst="rect">
                      <a:avLst/>
                    </a:prstGeom>
                  </pic:spPr>
                </pic:pic>
              </a:graphicData>
            </a:graphic>
          </wp:anchor>
        </w:drawing>
      </w:r>
      <w:r>
        <w:rPr>
          <w:rFonts w:ascii="Arial Narrow" w:hAnsi="Arial Narrow" w:cstheme="minorHAnsi"/>
          <w:b/>
          <w:noProof/>
          <w:sz w:val="22"/>
          <w:szCs w:val="22"/>
        </w:rPr>
        <w:drawing>
          <wp:anchor distT="0" distB="0" distL="114300" distR="114300" simplePos="0" relativeHeight="251658240" behindDoc="0" locked="0" layoutInCell="1" allowOverlap="1" wp14:anchorId="6A80D079" wp14:editId="38C55771">
            <wp:simplePos x="0" y="0"/>
            <wp:positionH relativeFrom="margin">
              <wp:posOffset>-661670</wp:posOffset>
            </wp:positionH>
            <wp:positionV relativeFrom="margin">
              <wp:posOffset>-345440</wp:posOffset>
            </wp:positionV>
            <wp:extent cx="1731645" cy="1466850"/>
            <wp:effectExtent l="0" t="0" r="1905" b="0"/>
            <wp:wrapSquare wrapText="bothSides"/>
            <wp:docPr id="1233796718" name="Image 1" descr="Une image contenant texte, Graphique, graphism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96718" name="Image 1" descr="Une image contenant texte, Graphique, graphisme, cercl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1645" cy="1466850"/>
                    </a:xfrm>
                    <a:prstGeom prst="rect">
                      <a:avLst/>
                    </a:prstGeom>
                  </pic:spPr>
                </pic:pic>
              </a:graphicData>
            </a:graphic>
            <wp14:sizeRelH relativeFrom="margin">
              <wp14:pctWidth>0</wp14:pctWidth>
            </wp14:sizeRelH>
            <wp14:sizeRelV relativeFrom="margin">
              <wp14:pctHeight>0</wp14:pctHeight>
            </wp14:sizeRelV>
          </wp:anchor>
        </w:drawing>
      </w:r>
    </w:p>
    <w:p w14:paraId="7FD237B9" w14:textId="555FC779" w:rsidR="002F02A4" w:rsidRDefault="002F02A4" w:rsidP="000A7E77">
      <w:pPr>
        <w:jc w:val="center"/>
        <w:rPr>
          <w:rFonts w:ascii="Arial Narrow" w:hAnsi="Arial Narrow" w:cstheme="minorHAnsi"/>
          <w:b/>
          <w:sz w:val="36"/>
          <w:szCs w:val="22"/>
        </w:rPr>
      </w:pPr>
    </w:p>
    <w:p w14:paraId="1A51058D" w14:textId="56746322" w:rsidR="002F02A4" w:rsidRDefault="002F02A4" w:rsidP="000A7E77">
      <w:pPr>
        <w:jc w:val="center"/>
        <w:rPr>
          <w:rFonts w:ascii="Arial Narrow" w:hAnsi="Arial Narrow" w:cstheme="minorHAnsi"/>
          <w:b/>
          <w:sz w:val="36"/>
          <w:szCs w:val="22"/>
        </w:rPr>
      </w:pPr>
    </w:p>
    <w:p w14:paraId="341494B9" w14:textId="217CAEF8" w:rsidR="002F02A4" w:rsidRDefault="002F02A4" w:rsidP="000A7E77">
      <w:pPr>
        <w:jc w:val="center"/>
        <w:rPr>
          <w:rFonts w:ascii="Arial Narrow" w:hAnsi="Arial Narrow" w:cstheme="minorHAnsi"/>
          <w:b/>
          <w:sz w:val="36"/>
          <w:szCs w:val="22"/>
        </w:rPr>
      </w:pPr>
      <w:r>
        <w:rPr>
          <w:rFonts w:ascii="Arial Narrow" w:hAnsi="Arial Narrow" w:cstheme="minorHAnsi"/>
          <w:b/>
          <w:noProof/>
          <w:sz w:val="36"/>
          <w:szCs w:val="22"/>
        </w:rPr>
        <mc:AlternateContent>
          <mc:Choice Requires="wps">
            <w:drawing>
              <wp:anchor distT="0" distB="0" distL="114300" distR="114300" simplePos="0" relativeHeight="251660288" behindDoc="0" locked="0" layoutInCell="1" allowOverlap="1" wp14:anchorId="475129C0" wp14:editId="7C572229">
                <wp:simplePos x="0" y="0"/>
                <wp:positionH relativeFrom="column">
                  <wp:posOffset>4615180</wp:posOffset>
                </wp:positionH>
                <wp:positionV relativeFrom="paragraph">
                  <wp:posOffset>36195</wp:posOffset>
                </wp:positionV>
                <wp:extent cx="1504950" cy="457200"/>
                <wp:effectExtent l="0" t="0" r="19050" b="19050"/>
                <wp:wrapNone/>
                <wp:docPr id="472447600" name="Zone de texte 3"/>
                <wp:cNvGraphicFramePr/>
                <a:graphic xmlns:a="http://schemas.openxmlformats.org/drawingml/2006/main">
                  <a:graphicData uri="http://schemas.microsoft.com/office/word/2010/wordprocessingShape">
                    <wps:wsp>
                      <wps:cNvSpPr txBox="1"/>
                      <wps:spPr>
                        <a:xfrm>
                          <a:off x="0" y="0"/>
                          <a:ext cx="1504950" cy="457200"/>
                        </a:xfrm>
                        <a:prstGeom prst="rect">
                          <a:avLst/>
                        </a:prstGeom>
                        <a:solidFill>
                          <a:schemeClr val="lt1"/>
                        </a:solidFill>
                        <a:ln w="6350">
                          <a:solidFill>
                            <a:prstClr val="black"/>
                          </a:solidFill>
                        </a:ln>
                      </wps:spPr>
                      <wps:txbx>
                        <w:txbxContent>
                          <w:p w14:paraId="0D9E0C1F" w14:textId="3956248F" w:rsidR="002F02A4" w:rsidRDefault="002F02A4">
                            <w:r>
                              <w:t xml:space="preserve">Cofinancé par l’Union européenne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129C0" id="_x0000_t202" coordsize="21600,21600" o:spt="202" path="m,l,21600r21600,l21600,xe">
                <v:stroke joinstyle="miter"/>
                <v:path gradientshapeok="t" o:connecttype="rect"/>
              </v:shapetype>
              <v:shape id="Zone de texte 3" o:spid="_x0000_s1026" type="#_x0000_t202" style="position:absolute;left:0;text-align:left;margin-left:363.4pt;margin-top:2.85pt;width:118.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" fillcolor="white [3201]" strokeweight=".5pt">
                <v:textbox>
                  <w:txbxContent>
                    <w:p w14:paraId="0D9E0C1F" w14:textId="3956248F" w:rsidR="002F02A4" w:rsidRDefault="002F02A4">
                      <w:r>
                        <w:t xml:space="preserve">Cofinancé par l’Union européenne </w:t>
                      </w:r>
                    </w:p>
                  </w:txbxContent>
                </v:textbox>
              </v:shape>
            </w:pict>
          </mc:Fallback>
        </mc:AlternateContent>
      </w:r>
    </w:p>
    <w:p w14:paraId="7DB733CC" w14:textId="77777777" w:rsidR="002F02A4" w:rsidRDefault="002F02A4" w:rsidP="000A7E77">
      <w:pPr>
        <w:jc w:val="center"/>
        <w:rPr>
          <w:rFonts w:ascii="Arial Narrow" w:hAnsi="Arial Narrow" w:cstheme="minorHAnsi"/>
          <w:b/>
          <w:sz w:val="36"/>
          <w:szCs w:val="22"/>
        </w:rPr>
      </w:pPr>
    </w:p>
    <w:p w14:paraId="75617502" w14:textId="77777777" w:rsidR="002F02A4" w:rsidRDefault="002F02A4" w:rsidP="000A7E77">
      <w:pPr>
        <w:jc w:val="center"/>
        <w:rPr>
          <w:rFonts w:ascii="Arial Narrow" w:hAnsi="Arial Narrow" w:cstheme="minorHAnsi"/>
          <w:b/>
          <w:sz w:val="36"/>
          <w:szCs w:val="22"/>
        </w:rPr>
      </w:pPr>
    </w:p>
    <w:p w14:paraId="5032F535" w14:textId="77777777" w:rsidR="002F02A4" w:rsidRDefault="002F02A4" w:rsidP="000A7E77">
      <w:pPr>
        <w:jc w:val="center"/>
        <w:rPr>
          <w:rFonts w:ascii="Arial Narrow" w:hAnsi="Arial Narrow" w:cstheme="minorHAnsi"/>
          <w:b/>
          <w:sz w:val="36"/>
          <w:szCs w:val="22"/>
        </w:rPr>
      </w:pPr>
    </w:p>
    <w:p w14:paraId="78D5DBCA" w14:textId="77777777" w:rsidR="008B0A88" w:rsidRDefault="008B0A88" w:rsidP="000A7E77">
      <w:pPr>
        <w:jc w:val="center"/>
        <w:rPr>
          <w:rFonts w:ascii="Arial Narrow" w:hAnsi="Arial Narrow" w:cstheme="minorHAnsi"/>
          <w:b/>
          <w:sz w:val="36"/>
          <w:szCs w:val="22"/>
        </w:rPr>
      </w:pPr>
    </w:p>
    <w:p w14:paraId="0A8F5440" w14:textId="77777777" w:rsidR="008B0A88" w:rsidRDefault="008B0A88" w:rsidP="000A7E77">
      <w:pPr>
        <w:jc w:val="center"/>
        <w:rPr>
          <w:rFonts w:ascii="Arial Narrow" w:hAnsi="Arial Narrow" w:cstheme="minorHAnsi"/>
          <w:b/>
          <w:sz w:val="36"/>
          <w:szCs w:val="22"/>
        </w:rPr>
      </w:pPr>
    </w:p>
    <w:p w14:paraId="088E29F6" w14:textId="77777777" w:rsidR="008B0A88" w:rsidRDefault="008B0A88" w:rsidP="000A7E77">
      <w:pPr>
        <w:jc w:val="center"/>
        <w:rPr>
          <w:rFonts w:ascii="Arial Narrow" w:hAnsi="Arial Narrow" w:cstheme="minorHAnsi"/>
          <w:b/>
          <w:sz w:val="36"/>
          <w:szCs w:val="22"/>
        </w:rPr>
      </w:pPr>
    </w:p>
    <w:p w14:paraId="1BD900FA" w14:textId="77777777" w:rsidR="008B0A88" w:rsidRDefault="008B0A88" w:rsidP="000A7E77">
      <w:pPr>
        <w:jc w:val="center"/>
        <w:rPr>
          <w:rFonts w:ascii="Arial Narrow" w:hAnsi="Arial Narrow" w:cstheme="minorHAnsi"/>
          <w:b/>
          <w:sz w:val="36"/>
          <w:szCs w:val="22"/>
        </w:rPr>
      </w:pPr>
    </w:p>
    <w:p w14:paraId="0427722B" w14:textId="77777777" w:rsidR="008B0A88" w:rsidRDefault="008B0A88" w:rsidP="000A7E77">
      <w:pPr>
        <w:jc w:val="center"/>
        <w:rPr>
          <w:rFonts w:ascii="Arial Narrow" w:hAnsi="Arial Narrow" w:cstheme="minorHAnsi"/>
          <w:b/>
          <w:sz w:val="36"/>
          <w:szCs w:val="22"/>
        </w:rPr>
      </w:pPr>
    </w:p>
    <w:p w14:paraId="39913926" w14:textId="77777777" w:rsidR="008B0A88" w:rsidRDefault="008B0A88" w:rsidP="000A7E77">
      <w:pPr>
        <w:jc w:val="center"/>
        <w:rPr>
          <w:rFonts w:ascii="Arial Narrow" w:hAnsi="Arial Narrow" w:cstheme="minorHAnsi"/>
          <w:b/>
          <w:sz w:val="36"/>
          <w:szCs w:val="22"/>
        </w:rPr>
      </w:pPr>
    </w:p>
    <w:p w14:paraId="23A73FB8" w14:textId="77777777" w:rsidR="008B0A88" w:rsidRDefault="008B0A88" w:rsidP="000A7E77">
      <w:pPr>
        <w:jc w:val="center"/>
        <w:rPr>
          <w:rFonts w:ascii="Arial Narrow" w:hAnsi="Arial Narrow" w:cstheme="minorHAnsi"/>
          <w:b/>
          <w:sz w:val="36"/>
          <w:szCs w:val="22"/>
        </w:rPr>
      </w:pPr>
    </w:p>
    <w:p w14:paraId="6C8D397A" w14:textId="77777777" w:rsidR="008B0A88" w:rsidRDefault="008B0A88" w:rsidP="000A7E77">
      <w:pPr>
        <w:jc w:val="center"/>
        <w:rPr>
          <w:rFonts w:ascii="Arial Narrow" w:hAnsi="Arial Narrow" w:cstheme="minorHAnsi"/>
          <w:b/>
          <w:sz w:val="36"/>
          <w:szCs w:val="22"/>
        </w:rPr>
      </w:pPr>
    </w:p>
    <w:p w14:paraId="1A79053B" w14:textId="77777777" w:rsidR="008B0A88" w:rsidRDefault="008B0A88" w:rsidP="000A7E77">
      <w:pPr>
        <w:jc w:val="center"/>
        <w:rPr>
          <w:rFonts w:ascii="Arial Narrow" w:hAnsi="Arial Narrow" w:cstheme="minorHAnsi"/>
          <w:b/>
          <w:sz w:val="36"/>
          <w:szCs w:val="22"/>
        </w:rPr>
      </w:pPr>
    </w:p>
    <w:p w14:paraId="386FAE91" w14:textId="77777777" w:rsidR="008B0A88" w:rsidRDefault="008B0A88" w:rsidP="00FD77A3">
      <w:pPr>
        <w:rPr>
          <w:rFonts w:ascii="Arial Narrow" w:hAnsi="Arial Narrow" w:cstheme="minorHAnsi"/>
          <w:b/>
          <w:sz w:val="36"/>
          <w:szCs w:val="22"/>
        </w:rPr>
      </w:pPr>
    </w:p>
    <w:p w14:paraId="2F046DA9" w14:textId="77777777" w:rsidR="008B0A88" w:rsidRDefault="008B0A88" w:rsidP="000A7E77">
      <w:pPr>
        <w:jc w:val="center"/>
        <w:rPr>
          <w:rFonts w:ascii="Arial Narrow" w:hAnsi="Arial Narrow" w:cstheme="minorHAnsi"/>
          <w:b/>
          <w:sz w:val="36"/>
          <w:szCs w:val="22"/>
        </w:rPr>
      </w:pPr>
    </w:p>
    <w:p w14:paraId="6A9D9B23" w14:textId="77777777" w:rsidR="002F02A4" w:rsidRDefault="002F02A4" w:rsidP="000A7E77">
      <w:pPr>
        <w:jc w:val="center"/>
        <w:rPr>
          <w:rFonts w:ascii="Arial Narrow" w:hAnsi="Arial Narrow" w:cstheme="minorHAnsi"/>
          <w:b/>
          <w:sz w:val="36"/>
          <w:szCs w:val="22"/>
        </w:rPr>
      </w:pPr>
    </w:p>
    <w:p w14:paraId="04532533" w14:textId="08617FBC" w:rsidR="000A7E77" w:rsidRPr="00156BFD" w:rsidRDefault="000A7E77" w:rsidP="000A7E77">
      <w:pPr>
        <w:jc w:val="center"/>
        <w:rPr>
          <w:rFonts w:ascii="Arial Narrow" w:hAnsi="Arial Narrow" w:cstheme="minorHAnsi"/>
          <w:b/>
          <w:sz w:val="36"/>
          <w:szCs w:val="22"/>
        </w:rPr>
      </w:pPr>
      <w:r w:rsidRPr="00156BFD">
        <w:rPr>
          <w:rFonts w:ascii="Arial Narrow" w:hAnsi="Arial Narrow" w:cstheme="minorHAnsi"/>
          <w:b/>
          <w:sz w:val="36"/>
          <w:szCs w:val="22"/>
        </w:rPr>
        <w:t>EVALUATION DU PR</w:t>
      </w:r>
      <w:r w:rsidR="002F02A4">
        <w:rPr>
          <w:rFonts w:ascii="Arial Narrow" w:hAnsi="Arial Narrow" w:cstheme="minorHAnsi"/>
          <w:b/>
          <w:sz w:val="36"/>
          <w:szCs w:val="22"/>
        </w:rPr>
        <w:t>OGRAMME SGA3</w:t>
      </w:r>
    </w:p>
    <w:p w14:paraId="04C6BFB7" w14:textId="77777777" w:rsidR="000A7E77" w:rsidRPr="00156BFD" w:rsidRDefault="000A7E77" w:rsidP="000A7E77">
      <w:pPr>
        <w:jc w:val="center"/>
        <w:rPr>
          <w:rFonts w:ascii="Arial Narrow" w:hAnsi="Arial Narrow" w:cstheme="minorHAnsi"/>
          <w:b/>
          <w:sz w:val="36"/>
          <w:szCs w:val="22"/>
        </w:rPr>
      </w:pPr>
    </w:p>
    <w:p w14:paraId="57B58D12" w14:textId="77777777" w:rsidR="000A7E77" w:rsidRPr="00156BFD" w:rsidRDefault="000A7E77" w:rsidP="000A7E77">
      <w:pPr>
        <w:jc w:val="center"/>
        <w:rPr>
          <w:rFonts w:ascii="Arial Narrow" w:hAnsi="Arial Narrow" w:cstheme="minorHAnsi"/>
          <w:b/>
          <w:sz w:val="36"/>
          <w:szCs w:val="22"/>
        </w:rPr>
      </w:pPr>
      <w:r w:rsidRPr="00156BFD">
        <w:rPr>
          <w:rFonts w:ascii="Arial Narrow" w:hAnsi="Arial Narrow" w:cstheme="minorHAnsi"/>
          <w:b/>
          <w:sz w:val="36"/>
          <w:szCs w:val="22"/>
        </w:rPr>
        <w:t>TERMES DE REFERENCE</w:t>
      </w:r>
    </w:p>
    <w:p w14:paraId="7D236972" w14:textId="77777777" w:rsidR="008C58F3" w:rsidRDefault="008C58F3"/>
    <w:p w14:paraId="5EA80E93" w14:textId="77777777" w:rsidR="008B0A88" w:rsidRDefault="008B0A88"/>
    <w:p w14:paraId="7EF46334" w14:textId="77777777" w:rsidR="008B0A88" w:rsidRDefault="008B0A88"/>
    <w:p w14:paraId="7E997165" w14:textId="77777777" w:rsidR="008B0A88" w:rsidRDefault="008B0A88"/>
    <w:p w14:paraId="1ED8E739" w14:textId="77777777" w:rsidR="008B0A88" w:rsidRDefault="008B0A88"/>
    <w:p w14:paraId="5169AD1C" w14:textId="77777777" w:rsidR="008B0A88" w:rsidRDefault="008B0A88"/>
    <w:p w14:paraId="7D425B0B" w14:textId="77777777" w:rsidR="008B0A88" w:rsidRDefault="008B0A88"/>
    <w:p w14:paraId="5786F4F2" w14:textId="77777777" w:rsidR="008B0A88" w:rsidRDefault="008B0A88"/>
    <w:p w14:paraId="2EC78B02" w14:textId="77777777" w:rsidR="008B0A88" w:rsidRDefault="008B0A88"/>
    <w:p w14:paraId="232C051C" w14:textId="77777777" w:rsidR="008B0A88" w:rsidRDefault="008B0A88"/>
    <w:p w14:paraId="4D05F344" w14:textId="77777777" w:rsidR="008B0A88" w:rsidRDefault="008B0A88"/>
    <w:p w14:paraId="09DE09DC" w14:textId="77777777" w:rsidR="008B0A88" w:rsidRDefault="008B0A88"/>
    <w:p w14:paraId="268AB9A8" w14:textId="77777777" w:rsidR="008B0A88" w:rsidRDefault="008B0A88"/>
    <w:p w14:paraId="5048F85B" w14:textId="77777777" w:rsidR="008B0A88" w:rsidRDefault="008B0A88"/>
    <w:p w14:paraId="558FEB15" w14:textId="77777777" w:rsidR="008B0A88" w:rsidRDefault="008B0A88"/>
    <w:p w14:paraId="16E489A0" w14:textId="77777777" w:rsidR="008B0A88" w:rsidRDefault="008B0A88"/>
    <w:p w14:paraId="5503B53C" w14:textId="77777777" w:rsidR="008B0A88" w:rsidRDefault="008B0A88"/>
    <w:p w14:paraId="5688FDB0" w14:textId="77777777" w:rsidR="008B0A88" w:rsidRDefault="008B0A88"/>
    <w:p w14:paraId="21046BCE" w14:textId="77777777" w:rsidR="008B0A88" w:rsidRPr="00156BFD" w:rsidRDefault="008B0A88"/>
    <w:p w14:paraId="13265E89" w14:textId="77777777" w:rsidR="000A7E77" w:rsidRDefault="000A7E77">
      <w:pPr>
        <w:rPr>
          <w:sz w:val="22"/>
          <w:szCs w:val="22"/>
        </w:rPr>
      </w:pPr>
    </w:p>
    <w:p w14:paraId="45E92006" w14:textId="77777777" w:rsidR="007174DD" w:rsidRDefault="007174DD">
      <w:pPr>
        <w:rPr>
          <w:sz w:val="22"/>
          <w:szCs w:val="22"/>
        </w:rPr>
      </w:pPr>
    </w:p>
    <w:p w14:paraId="59A3D815" w14:textId="77777777" w:rsidR="007174DD" w:rsidRDefault="007174DD">
      <w:pPr>
        <w:rPr>
          <w:sz w:val="22"/>
          <w:szCs w:val="22"/>
        </w:rPr>
      </w:pPr>
    </w:p>
    <w:p w14:paraId="5294095B" w14:textId="77777777" w:rsidR="007174DD" w:rsidRDefault="007174DD">
      <w:pPr>
        <w:rPr>
          <w:sz w:val="22"/>
          <w:szCs w:val="22"/>
        </w:rPr>
      </w:pPr>
    </w:p>
    <w:p w14:paraId="3BE81147" w14:textId="77777777" w:rsidR="007174DD" w:rsidRDefault="007174DD">
      <w:pPr>
        <w:rPr>
          <w:sz w:val="22"/>
          <w:szCs w:val="22"/>
        </w:rPr>
      </w:pPr>
    </w:p>
    <w:p w14:paraId="799C75F0" w14:textId="77777777" w:rsidR="007174DD" w:rsidRDefault="007174DD">
      <w:pPr>
        <w:rPr>
          <w:sz w:val="22"/>
          <w:szCs w:val="22"/>
        </w:rPr>
      </w:pPr>
    </w:p>
    <w:p w14:paraId="0869B5DB" w14:textId="77777777" w:rsidR="007174DD" w:rsidRDefault="007174DD">
      <w:pPr>
        <w:rPr>
          <w:sz w:val="22"/>
          <w:szCs w:val="22"/>
        </w:rPr>
      </w:pPr>
    </w:p>
    <w:p w14:paraId="6E8AFDB3" w14:textId="77777777" w:rsidR="007174DD" w:rsidRDefault="007174DD">
      <w:pPr>
        <w:rPr>
          <w:sz w:val="22"/>
          <w:szCs w:val="22"/>
        </w:rPr>
      </w:pPr>
    </w:p>
    <w:p w14:paraId="210E2614" w14:textId="77777777" w:rsidR="008B0A88" w:rsidRDefault="008B0A88">
      <w:pPr>
        <w:rPr>
          <w:sz w:val="22"/>
          <w:szCs w:val="22"/>
        </w:rPr>
      </w:pPr>
    </w:p>
    <w:sdt>
      <w:sdtPr>
        <w:rPr>
          <w:rFonts w:ascii="Times New Roman" w:eastAsia="Times New Roman" w:hAnsi="Times New Roman" w:cs="Times New Roman"/>
          <w:color w:val="auto"/>
          <w:sz w:val="24"/>
          <w:szCs w:val="20"/>
          <w:lang w:eastAsia="en-US"/>
          <w14:ligatures w14:val="standardContextual"/>
        </w:rPr>
        <w:id w:val="23224073"/>
        <w:docPartObj>
          <w:docPartGallery w:val="Table of Contents"/>
          <w:docPartUnique/>
        </w:docPartObj>
      </w:sdtPr>
      <w:sdtEndPr>
        <w:rPr>
          <w:b/>
          <w:bCs/>
        </w:rPr>
      </w:sdtEndPr>
      <w:sdtContent>
        <w:p w14:paraId="074BF320" w14:textId="61E871F5" w:rsidR="007174DD" w:rsidRDefault="007174DD">
          <w:pPr>
            <w:pStyle w:val="En-ttedetabledesmatires"/>
          </w:pPr>
          <w:r>
            <w:t>Sommaires :</w:t>
          </w:r>
        </w:p>
        <w:p w14:paraId="77F3694C" w14:textId="77777777" w:rsidR="007174DD" w:rsidRPr="007174DD" w:rsidRDefault="007174DD" w:rsidP="007174DD">
          <w:pPr>
            <w:rPr>
              <w:lang w:eastAsia="fr-FR"/>
            </w:rPr>
          </w:pPr>
        </w:p>
        <w:p w14:paraId="5A1ED3F2" w14:textId="192D0212" w:rsidR="007174DD" w:rsidRDefault="007174DD">
          <w:pPr>
            <w:pStyle w:val="TM2"/>
            <w:tabs>
              <w:tab w:val="left" w:pos="720"/>
              <w:tab w:val="right" w:leader="dot" w:pos="9062"/>
            </w:tabs>
            <w:rPr>
              <w:rFonts w:asciiTheme="minorHAnsi" w:eastAsiaTheme="minorEastAsia" w:hAnsiTheme="minorHAnsi" w:cstheme="minorBidi"/>
              <w:noProof/>
              <w:kern w:val="2"/>
              <w:szCs w:val="24"/>
              <w:lang w:eastAsia="fr-FR"/>
            </w:rPr>
          </w:pPr>
          <w:r>
            <w:fldChar w:fldCharType="begin"/>
          </w:r>
          <w:r>
            <w:instrText xml:space="preserve"> TOC \o "1-3" \h \z \u </w:instrText>
          </w:r>
          <w:r>
            <w:fldChar w:fldCharType="separate"/>
          </w:r>
          <w:hyperlink w:anchor="_Toc167895116" w:history="1">
            <w:r w:rsidRPr="00736F2A">
              <w:rPr>
                <w:rStyle w:val="Lienhypertexte"/>
                <w:noProof/>
              </w:rPr>
              <w:t>I.</w:t>
            </w:r>
            <w:r>
              <w:rPr>
                <w:rFonts w:asciiTheme="minorHAnsi" w:eastAsiaTheme="minorEastAsia" w:hAnsiTheme="minorHAnsi" w:cstheme="minorBidi"/>
                <w:noProof/>
                <w:kern w:val="2"/>
                <w:szCs w:val="24"/>
                <w:lang w:eastAsia="fr-FR"/>
              </w:rPr>
              <w:tab/>
            </w:r>
            <w:r w:rsidRPr="00736F2A">
              <w:rPr>
                <w:rStyle w:val="Lienhypertexte"/>
                <w:noProof/>
              </w:rPr>
              <w:t>Commanditaire</w:t>
            </w:r>
            <w:r>
              <w:rPr>
                <w:noProof/>
                <w:webHidden/>
              </w:rPr>
              <w:tab/>
            </w:r>
            <w:r>
              <w:rPr>
                <w:noProof/>
                <w:webHidden/>
              </w:rPr>
              <w:fldChar w:fldCharType="begin"/>
            </w:r>
            <w:r>
              <w:rPr>
                <w:noProof/>
                <w:webHidden/>
              </w:rPr>
              <w:instrText xml:space="preserve"> PAGEREF _Toc167895116 \h </w:instrText>
            </w:r>
            <w:r>
              <w:rPr>
                <w:noProof/>
                <w:webHidden/>
              </w:rPr>
            </w:r>
            <w:r>
              <w:rPr>
                <w:noProof/>
                <w:webHidden/>
              </w:rPr>
              <w:fldChar w:fldCharType="separate"/>
            </w:r>
            <w:r>
              <w:rPr>
                <w:noProof/>
                <w:webHidden/>
              </w:rPr>
              <w:t>2</w:t>
            </w:r>
            <w:r>
              <w:rPr>
                <w:noProof/>
                <w:webHidden/>
              </w:rPr>
              <w:fldChar w:fldCharType="end"/>
            </w:r>
          </w:hyperlink>
        </w:p>
        <w:p w14:paraId="6BB5D490" w14:textId="4DBA035E" w:rsidR="007174DD" w:rsidRDefault="00175E7F">
          <w:pPr>
            <w:pStyle w:val="TM2"/>
            <w:tabs>
              <w:tab w:val="left" w:pos="720"/>
              <w:tab w:val="right" w:leader="dot" w:pos="9062"/>
            </w:tabs>
            <w:rPr>
              <w:rFonts w:asciiTheme="minorHAnsi" w:eastAsiaTheme="minorEastAsia" w:hAnsiTheme="minorHAnsi" w:cstheme="minorBidi"/>
              <w:noProof/>
              <w:kern w:val="2"/>
              <w:szCs w:val="24"/>
              <w:lang w:eastAsia="fr-FR"/>
            </w:rPr>
          </w:pPr>
          <w:hyperlink w:anchor="_Toc167895117" w:history="1">
            <w:r w:rsidR="007174DD" w:rsidRPr="00736F2A">
              <w:rPr>
                <w:rStyle w:val="Lienhypertexte"/>
                <w:noProof/>
              </w:rPr>
              <w:t>A.</w:t>
            </w:r>
            <w:r w:rsidR="007174DD">
              <w:rPr>
                <w:rFonts w:asciiTheme="minorHAnsi" w:eastAsiaTheme="minorEastAsia" w:hAnsiTheme="minorHAnsi" w:cstheme="minorBidi"/>
                <w:noProof/>
                <w:kern w:val="2"/>
                <w:szCs w:val="24"/>
                <w:lang w:eastAsia="fr-FR"/>
              </w:rPr>
              <w:tab/>
            </w:r>
            <w:r w:rsidR="007174DD" w:rsidRPr="00736F2A">
              <w:rPr>
                <w:rStyle w:val="Lienhypertexte"/>
                <w:noProof/>
              </w:rPr>
              <w:t>L’AIMF</w:t>
            </w:r>
            <w:r w:rsidR="007174DD">
              <w:rPr>
                <w:noProof/>
                <w:webHidden/>
              </w:rPr>
              <w:tab/>
            </w:r>
            <w:r w:rsidR="007174DD">
              <w:rPr>
                <w:noProof/>
                <w:webHidden/>
              </w:rPr>
              <w:fldChar w:fldCharType="begin"/>
            </w:r>
            <w:r w:rsidR="007174DD">
              <w:rPr>
                <w:noProof/>
                <w:webHidden/>
              </w:rPr>
              <w:instrText xml:space="preserve"> PAGEREF _Toc167895117 \h </w:instrText>
            </w:r>
            <w:r w:rsidR="007174DD">
              <w:rPr>
                <w:noProof/>
                <w:webHidden/>
              </w:rPr>
            </w:r>
            <w:r w:rsidR="007174DD">
              <w:rPr>
                <w:noProof/>
                <w:webHidden/>
              </w:rPr>
              <w:fldChar w:fldCharType="separate"/>
            </w:r>
            <w:r w:rsidR="007174DD">
              <w:rPr>
                <w:noProof/>
                <w:webHidden/>
              </w:rPr>
              <w:t>2</w:t>
            </w:r>
            <w:r w:rsidR="007174DD">
              <w:rPr>
                <w:noProof/>
                <w:webHidden/>
              </w:rPr>
              <w:fldChar w:fldCharType="end"/>
            </w:r>
          </w:hyperlink>
        </w:p>
        <w:p w14:paraId="39A87680" w14:textId="3DEE0245" w:rsidR="007174DD" w:rsidRDefault="00175E7F">
          <w:pPr>
            <w:pStyle w:val="TM2"/>
            <w:tabs>
              <w:tab w:val="left" w:pos="720"/>
              <w:tab w:val="right" w:leader="dot" w:pos="9062"/>
            </w:tabs>
            <w:rPr>
              <w:rFonts w:asciiTheme="minorHAnsi" w:eastAsiaTheme="minorEastAsia" w:hAnsiTheme="minorHAnsi" w:cstheme="minorBidi"/>
              <w:noProof/>
              <w:kern w:val="2"/>
              <w:szCs w:val="24"/>
              <w:lang w:eastAsia="fr-FR"/>
            </w:rPr>
          </w:pPr>
          <w:hyperlink w:anchor="_Toc167895118" w:history="1">
            <w:r w:rsidR="007174DD" w:rsidRPr="00736F2A">
              <w:rPr>
                <w:rStyle w:val="Lienhypertexte"/>
                <w:noProof/>
              </w:rPr>
              <w:t>B.</w:t>
            </w:r>
            <w:r w:rsidR="007174DD">
              <w:rPr>
                <w:rFonts w:asciiTheme="minorHAnsi" w:eastAsiaTheme="minorEastAsia" w:hAnsiTheme="minorHAnsi" w:cstheme="minorBidi"/>
                <w:noProof/>
                <w:kern w:val="2"/>
                <w:szCs w:val="24"/>
                <w:lang w:eastAsia="fr-FR"/>
              </w:rPr>
              <w:tab/>
            </w:r>
            <w:r w:rsidR="007174DD" w:rsidRPr="00736F2A">
              <w:rPr>
                <w:rStyle w:val="Lienhypertexte"/>
                <w:noProof/>
              </w:rPr>
              <w:t>Présentation générale du partenariat stratégique l’AIMF-Union européenne</w:t>
            </w:r>
            <w:r w:rsidR="007174DD">
              <w:rPr>
                <w:noProof/>
                <w:webHidden/>
              </w:rPr>
              <w:tab/>
            </w:r>
            <w:r w:rsidR="007174DD">
              <w:rPr>
                <w:noProof/>
                <w:webHidden/>
              </w:rPr>
              <w:fldChar w:fldCharType="begin"/>
            </w:r>
            <w:r w:rsidR="007174DD">
              <w:rPr>
                <w:noProof/>
                <w:webHidden/>
              </w:rPr>
              <w:instrText xml:space="preserve"> PAGEREF _Toc167895118 \h </w:instrText>
            </w:r>
            <w:r w:rsidR="007174DD">
              <w:rPr>
                <w:noProof/>
                <w:webHidden/>
              </w:rPr>
            </w:r>
            <w:r w:rsidR="007174DD">
              <w:rPr>
                <w:noProof/>
                <w:webHidden/>
              </w:rPr>
              <w:fldChar w:fldCharType="separate"/>
            </w:r>
            <w:r w:rsidR="007174DD">
              <w:rPr>
                <w:noProof/>
                <w:webHidden/>
              </w:rPr>
              <w:t>3</w:t>
            </w:r>
            <w:r w:rsidR="007174DD">
              <w:rPr>
                <w:noProof/>
                <w:webHidden/>
              </w:rPr>
              <w:fldChar w:fldCharType="end"/>
            </w:r>
          </w:hyperlink>
        </w:p>
        <w:p w14:paraId="0ED6CC6B" w14:textId="70BAC63F" w:rsidR="007174DD" w:rsidRDefault="00175E7F">
          <w:pPr>
            <w:pStyle w:val="TM2"/>
            <w:tabs>
              <w:tab w:val="left" w:pos="720"/>
              <w:tab w:val="right" w:leader="dot" w:pos="9062"/>
            </w:tabs>
            <w:rPr>
              <w:rFonts w:asciiTheme="minorHAnsi" w:eastAsiaTheme="minorEastAsia" w:hAnsiTheme="minorHAnsi" w:cstheme="minorBidi"/>
              <w:noProof/>
              <w:kern w:val="2"/>
              <w:szCs w:val="24"/>
              <w:lang w:eastAsia="fr-FR"/>
            </w:rPr>
          </w:pPr>
          <w:hyperlink w:anchor="_Toc167895119" w:history="1">
            <w:r w:rsidR="007174DD" w:rsidRPr="00736F2A">
              <w:rPr>
                <w:rStyle w:val="Lienhypertexte"/>
                <w:noProof/>
              </w:rPr>
              <w:t>C.</w:t>
            </w:r>
            <w:r w:rsidR="007174DD">
              <w:rPr>
                <w:rFonts w:asciiTheme="minorHAnsi" w:eastAsiaTheme="minorEastAsia" w:hAnsiTheme="minorHAnsi" w:cstheme="minorBidi"/>
                <w:noProof/>
                <w:kern w:val="2"/>
                <w:szCs w:val="24"/>
                <w:lang w:eastAsia="fr-FR"/>
              </w:rPr>
              <w:tab/>
            </w:r>
            <w:r w:rsidR="007174DD" w:rsidRPr="00736F2A">
              <w:rPr>
                <w:rStyle w:val="Lienhypertexte"/>
                <w:noProof/>
              </w:rPr>
              <w:t>Présentation du programme SGA3</w:t>
            </w:r>
            <w:r w:rsidR="007174DD">
              <w:rPr>
                <w:noProof/>
                <w:webHidden/>
              </w:rPr>
              <w:tab/>
            </w:r>
            <w:r w:rsidR="007174DD">
              <w:rPr>
                <w:noProof/>
                <w:webHidden/>
              </w:rPr>
              <w:fldChar w:fldCharType="begin"/>
            </w:r>
            <w:r w:rsidR="007174DD">
              <w:rPr>
                <w:noProof/>
                <w:webHidden/>
              </w:rPr>
              <w:instrText xml:space="preserve"> PAGEREF _Toc167895119 \h </w:instrText>
            </w:r>
            <w:r w:rsidR="007174DD">
              <w:rPr>
                <w:noProof/>
                <w:webHidden/>
              </w:rPr>
            </w:r>
            <w:r w:rsidR="007174DD">
              <w:rPr>
                <w:noProof/>
                <w:webHidden/>
              </w:rPr>
              <w:fldChar w:fldCharType="separate"/>
            </w:r>
            <w:r w:rsidR="007174DD">
              <w:rPr>
                <w:noProof/>
                <w:webHidden/>
              </w:rPr>
              <w:t>4</w:t>
            </w:r>
            <w:r w:rsidR="007174DD">
              <w:rPr>
                <w:noProof/>
                <w:webHidden/>
              </w:rPr>
              <w:fldChar w:fldCharType="end"/>
            </w:r>
          </w:hyperlink>
        </w:p>
        <w:p w14:paraId="616CD606" w14:textId="02FA0928" w:rsidR="007174DD" w:rsidRDefault="00175E7F">
          <w:pPr>
            <w:pStyle w:val="TM2"/>
            <w:tabs>
              <w:tab w:val="left" w:pos="720"/>
              <w:tab w:val="right" w:leader="dot" w:pos="9062"/>
            </w:tabs>
            <w:rPr>
              <w:rFonts w:asciiTheme="minorHAnsi" w:eastAsiaTheme="minorEastAsia" w:hAnsiTheme="minorHAnsi" w:cstheme="minorBidi"/>
              <w:noProof/>
              <w:kern w:val="2"/>
              <w:szCs w:val="24"/>
              <w:lang w:eastAsia="fr-FR"/>
            </w:rPr>
          </w:pPr>
          <w:hyperlink w:anchor="_Toc167895120" w:history="1">
            <w:r w:rsidR="007174DD" w:rsidRPr="00736F2A">
              <w:rPr>
                <w:rStyle w:val="Lienhypertexte"/>
                <w:noProof/>
              </w:rPr>
              <w:t>II.</w:t>
            </w:r>
            <w:r w:rsidR="007174DD">
              <w:rPr>
                <w:rFonts w:asciiTheme="minorHAnsi" w:eastAsiaTheme="minorEastAsia" w:hAnsiTheme="minorHAnsi" w:cstheme="minorBidi"/>
                <w:noProof/>
                <w:kern w:val="2"/>
                <w:szCs w:val="24"/>
                <w:lang w:eastAsia="fr-FR"/>
              </w:rPr>
              <w:tab/>
            </w:r>
            <w:r w:rsidR="007174DD" w:rsidRPr="00736F2A">
              <w:rPr>
                <w:rStyle w:val="Lienhypertexte"/>
                <w:noProof/>
              </w:rPr>
              <w:t>Objectifs de l’évaluation</w:t>
            </w:r>
            <w:r w:rsidR="007174DD">
              <w:rPr>
                <w:noProof/>
                <w:webHidden/>
              </w:rPr>
              <w:tab/>
            </w:r>
            <w:r w:rsidR="007174DD">
              <w:rPr>
                <w:noProof/>
                <w:webHidden/>
              </w:rPr>
              <w:fldChar w:fldCharType="begin"/>
            </w:r>
            <w:r w:rsidR="007174DD">
              <w:rPr>
                <w:noProof/>
                <w:webHidden/>
              </w:rPr>
              <w:instrText xml:space="preserve"> PAGEREF _Toc167895120 \h </w:instrText>
            </w:r>
            <w:r w:rsidR="007174DD">
              <w:rPr>
                <w:noProof/>
                <w:webHidden/>
              </w:rPr>
            </w:r>
            <w:r w:rsidR="007174DD">
              <w:rPr>
                <w:noProof/>
                <w:webHidden/>
              </w:rPr>
              <w:fldChar w:fldCharType="separate"/>
            </w:r>
            <w:r w:rsidR="007174DD">
              <w:rPr>
                <w:noProof/>
                <w:webHidden/>
              </w:rPr>
              <w:t>6</w:t>
            </w:r>
            <w:r w:rsidR="007174DD">
              <w:rPr>
                <w:noProof/>
                <w:webHidden/>
              </w:rPr>
              <w:fldChar w:fldCharType="end"/>
            </w:r>
          </w:hyperlink>
        </w:p>
        <w:p w14:paraId="275B8404" w14:textId="03AE7BDB" w:rsidR="007174DD" w:rsidRDefault="00175E7F">
          <w:pPr>
            <w:pStyle w:val="TM1"/>
            <w:tabs>
              <w:tab w:val="left" w:pos="480"/>
              <w:tab w:val="right" w:leader="dot" w:pos="9062"/>
            </w:tabs>
            <w:rPr>
              <w:rFonts w:asciiTheme="minorHAnsi" w:eastAsiaTheme="minorEastAsia" w:hAnsiTheme="minorHAnsi" w:cstheme="minorBidi"/>
              <w:noProof/>
              <w:kern w:val="2"/>
              <w:szCs w:val="24"/>
              <w:lang w:eastAsia="fr-FR"/>
            </w:rPr>
          </w:pPr>
          <w:hyperlink w:anchor="_Toc167895121" w:history="1">
            <w:r w:rsidR="007174DD" w:rsidRPr="00736F2A">
              <w:rPr>
                <w:rStyle w:val="Lienhypertexte"/>
                <w:rFonts w:ascii="Arial Narrow" w:hAnsi="Arial Narrow" w:cstheme="minorHAnsi"/>
                <w:noProof/>
              </w:rPr>
              <w:t>A.</w:t>
            </w:r>
            <w:r w:rsidR="007174DD">
              <w:rPr>
                <w:rFonts w:asciiTheme="minorHAnsi" w:eastAsiaTheme="minorEastAsia" w:hAnsiTheme="minorHAnsi" w:cstheme="minorBidi"/>
                <w:noProof/>
                <w:kern w:val="2"/>
                <w:szCs w:val="24"/>
                <w:lang w:eastAsia="fr-FR"/>
              </w:rPr>
              <w:tab/>
            </w:r>
            <w:r w:rsidR="007174DD" w:rsidRPr="00736F2A">
              <w:rPr>
                <w:rStyle w:val="Lienhypertexte"/>
                <w:rFonts w:ascii="Arial Narrow" w:hAnsi="Arial Narrow" w:cstheme="minorHAnsi"/>
                <w:noProof/>
              </w:rPr>
              <w:t>Contenu de l’évaluation</w:t>
            </w:r>
            <w:r w:rsidR="007174DD">
              <w:rPr>
                <w:noProof/>
                <w:webHidden/>
              </w:rPr>
              <w:tab/>
            </w:r>
            <w:r w:rsidR="007174DD">
              <w:rPr>
                <w:noProof/>
                <w:webHidden/>
              </w:rPr>
              <w:fldChar w:fldCharType="begin"/>
            </w:r>
            <w:r w:rsidR="007174DD">
              <w:rPr>
                <w:noProof/>
                <w:webHidden/>
              </w:rPr>
              <w:instrText xml:space="preserve"> PAGEREF _Toc167895121 \h </w:instrText>
            </w:r>
            <w:r w:rsidR="007174DD">
              <w:rPr>
                <w:noProof/>
                <w:webHidden/>
              </w:rPr>
            </w:r>
            <w:r w:rsidR="007174DD">
              <w:rPr>
                <w:noProof/>
                <w:webHidden/>
              </w:rPr>
              <w:fldChar w:fldCharType="separate"/>
            </w:r>
            <w:r w:rsidR="007174DD">
              <w:rPr>
                <w:noProof/>
                <w:webHidden/>
              </w:rPr>
              <w:t>7</w:t>
            </w:r>
            <w:r w:rsidR="007174DD">
              <w:rPr>
                <w:noProof/>
                <w:webHidden/>
              </w:rPr>
              <w:fldChar w:fldCharType="end"/>
            </w:r>
          </w:hyperlink>
        </w:p>
        <w:p w14:paraId="7CE44D24" w14:textId="68A4CE26" w:rsidR="007174DD" w:rsidRDefault="00175E7F">
          <w:pPr>
            <w:pStyle w:val="TM1"/>
            <w:tabs>
              <w:tab w:val="left" w:pos="480"/>
              <w:tab w:val="right" w:leader="dot" w:pos="9062"/>
            </w:tabs>
            <w:rPr>
              <w:rFonts w:asciiTheme="minorHAnsi" w:eastAsiaTheme="minorEastAsia" w:hAnsiTheme="minorHAnsi" w:cstheme="minorBidi"/>
              <w:noProof/>
              <w:kern w:val="2"/>
              <w:szCs w:val="24"/>
              <w:lang w:eastAsia="fr-FR"/>
            </w:rPr>
          </w:pPr>
          <w:hyperlink w:anchor="_Toc167895122" w:history="1">
            <w:r w:rsidR="007174DD" w:rsidRPr="00736F2A">
              <w:rPr>
                <w:rStyle w:val="Lienhypertexte"/>
                <w:rFonts w:ascii="Arial Narrow" w:hAnsi="Arial Narrow" w:cstheme="minorHAnsi"/>
                <w:noProof/>
              </w:rPr>
              <w:t>B.</w:t>
            </w:r>
            <w:r w:rsidR="007174DD">
              <w:rPr>
                <w:rFonts w:asciiTheme="minorHAnsi" w:eastAsiaTheme="minorEastAsia" w:hAnsiTheme="minorHAnsi" w:cstheme="minorBidi"/>
                <w:noProof/>
                <w:kern w:val="2"/>
                <w:szCs w:val="24"/>
                <w:lang w:eastAsia="fr-FR"/>
              </w:rPr>
              <w:tab/>
            </w:r>
            <w:r w:rsidR="007174DD" w:rsidRPr="00736F2A">
              <w:rPr>
                <w:rStyle w:val="Lienhypertexte"/>
                <w:rFonts w:ascii="Arial Narrow" w:hAnsi="Arial Narrow" w:cstheme="minorHAnsi"/>
                <w:noProof/>
              </w:rPr>
              <w:t>Méthode</w:t>
            </w:r>
            <w:r w:rsidR="007174DD">
              <w:rPr>
                <w:noProof/>
                <w:webHidden/>
              </w:rPr>
              <w:tab/>
            </w:r>
            <w:r w:rsidR="007174DD">
              <w:rPr>
                <w:noProof/>
                <w:webHidden/>
              </w:rPr>
              <w:fldChar w:fldCharType="begin"/>
            </w:r>
            <w:r w:rsidR="007174DD">
              <w:rPr>
                <w:noProof/>
                <w:webHidden/>
              </w:rPr>
              <w:instrText xml:space="preserve"> PAGEREF _Toc167895122 \h </w:instrText>
            </w:r>
            <w:r w:rsidR="007174DD">
              <w:rPr>
                <w:noProof/>
                <w:webHidden/>
              </w:rPr>
            </w:r>
            <w:r w:rsidR="007174DD">
              <w:rPr>
                <w:noProof/>
                <w:webHidden/>
              </w:rPr>
              <w:fldChar w:fldCharType="separate"/>
            </w:r>
            <w:r w:rsidR="007174DD">
              <w:rPr>
                <w:noProof/>
                <w:webHidden/>
              </w:rPr>
              <w:t>7</w:t>
            </w:r>
            <w:r w:rsidR="007174DD">
              <w:rPr>
                <w:noProof/>
                <w:webHidden/>
              </w:rPr>
              <w:fldChar w:fldCharType="end"/>
            </w:r>
          </w:hyperlink>
        </w:p>
        <w:p w14:paraId="5D70470D" w14:textId="52CC097D" w:rsidR="007174DD" w:rsidRDefault="00175E7F">
          <w:pPr>
            <w:pStyle w:val="TM1"/>
            <w:tabs>
              <w:tab w:val="left" w:pos="480"/>
              <w:tab w:val="right" w:leader="dot" w:pos="9062"/>
            </w:tabs>
            <w:rPr>
              <w:rFonts w:asciiTheme="minorHAnsi" w:eastAsiaTheme="minorEastAsia" w:hAnsiTheme="minorHAnsi" w:cstheme="minorBidi"/>
              <w:noProof/>
              <w:kern w:val="2"/>
              <w:szCs w:val="24"/>
              <w:lang w:eastAsia="fr-FR"/>
            </w:rPr>
          </w:pPr>
          <w:hyperlink w:anchor="_Toc167895123" w:history="1">
            <w:r w:rsidR="007174DD" w:rsidRPr="00736F2A">
              <w:rPr>
                <w:rStyle w:val="Lienhypertexte"/>
                <w:rFonts w:ascii="Arial Narrow" w:hAnsi="Arial Narrow" w:cstheme="minorHAnsi"/>
                <w:noProof/>
              </w:rPr>
              <w:t>C.</w:t>
            </w:r>
            <w:r w:rsidR="007174DD">
              <w:rPr>
                <w:rFonts w:asciiTheme="minorHAnsi" w:eastAsiaTheme="minorEastAsia" w:hAnsiTheme="minorHAnsi" w:cstheme="minorBidi"/>
                <w:noProof/>
                <w:kern w:val="2"/>
                <w:szCs w:val="24"/>
                <w:lang w:eastAsia="fr-FR"/>
              </w:rPr>
              <w:tab/>
            </w:r>
            <w:r w:rsidR="007174DD" w:rsidRPr="00736F2A">
              <w:rPr>
                <w:rStyle w:val="Lienhypertexte"/>
                <w:rFonts w:ascii="Arial Narrow" w:hAnsi="Arial Narrow" w:cstheme="minorHAnsi"/>
                <w:noProof/>
              </w:rPr>
              <w:t>Productions finales attendues</w:t>
            </w:r>
            <w:r w:rsidR="007174DD">
              <w:rPr>
                <w:noProof/>
                <w:webHidden/>
              </w:rPr>
              <w:tab/>
            </w:r>
            <w:r w:rsidR="007174DD">
              <w:rPr>
                <w:noProof/>
                <w:webHidden/>
              </w:rPr>
              <w:fldChar w:fldCharType="begin"/>
            </w:r>
            <w:r w:rsidR="007174DD">
              <w:rPr>
                <w:noProof/>
                <w:webHidden/>
              </w:rPr>
              <w:instrText xml:space="preserve"> PAGEREF _Toc167895123 \h </w:instrText>
            </w:r>
            <w:r w:rsidR="007174DD">
              <w:rPr>
                <w:noProof/>
                <w:webHidden/>
              </w:rPr>
            </w:r>
            <w:r w:rsidR="007174DD">
              <w:rPr>
                <w:noProof/>
                <w:webHidden/>
              </w:rPr>
              <w:fldChar w:fldCharType="separate"/>
            </w:r>
            <w:r w:rsidR="007174DD">
              <w:rPr>
                <w:noProof/>
                <w:webHidden/>
              </w:rPr>
              <w:t>8</w:t>
            </w:r>
            <w:r w:rsidR="007174DD">
              <w:rPr>
                <w:noProof/>
                <w:webHidden/>
              </w:rPr>
              <w:fldChar w:fldCharType="end"/>
            </w:r>
          </w:hyperlink>
        </w:p>
        <w:p w14:paraId="3762A9FF" w14:textId="3CDFF175" w:rsidR="007174DD" w:rsidRDefault="00175E7F">
          <w:pPr>
            <w:pStyle w:val="TM1"/>
            <w:tabs>
              <w:tab w:val="left" w:pos="480"/>
              <w:tab w:val="right" w:leader="dot" w:pos="9062"/>
            </w:tabs>
            <w:rPr>
              <w:rFonts w:asciiTheme="minorHAnsi" w:eastAsiaTheme="minorEastAsia" w:hAnsiTheme="minorHAnsi" w:cstheme="minorBidi"/>
              <w:noProof/>
              <w:kern w:val="2"/>
              <w:szCs w:val="24"/>
              <w:lang w:eastAsia="fr-FR"/>
            </w:rPr>
          </w:pPr>
          <w:hyperlink w:anchor="_Toc167895124" w:history="1">
            <w:r w:rsidR="007174DD" w:rsidRPr="00736F2A">
              <w:rPr>
                <w:rStyle w:val="Lienhypertexte"/>
                <w:noProof/>
              </w:rPr>
              <w:t>D.</w:t>
            </w:r>
            <w:r w:rsidR="007174DD">
              <w:rPr>
                <w:rFonts w:asciiTheme="minorHAnsi" w:eastAsiaTheme="minorEastAsia" w:hAnsiTheme="minorHAnsi" w:cstheme="minorBidi"/>
                <w:noProof/>
                <w:kern w:val="2"/>
                <w:szCs w:val="24"/>
                <w:lang w:eastAsia="fr-FR"/>
              </w:rPr>
              <w:tab/>
            </w:r>
            <w:r w:rsidR="007174DD" w:rsidRPr="00736F2A">
              <w:rPr>
                <w:rStyle w:val="Lienhypertexte"/>
                <w:noProof/>
              </w:rPr>
              <w:t>Modalités</w:t>
            </w:r>
            <w:r w:rsidR="007174DD">
              <w:rPr>
                <w:noProof/>
                <w:webHidden/>
              </w:rPr>
              <w:tab/>
            </w:r>
            <w:r w:rsidR="007174DD">
              <w:rPr>
                <w:noProof/>
                <w:webHidden/>
              </w:rPr>
              <w:fldChar w:fldCharType="begin"/>
            </w:r>
            <w:r w:rsidR="007174DD">
              <w:rPr>
                <w:noProof/>
                <w:webHidden/>
              </w:rPr>
              <w:instrText xml:space="preserve"> PAGEREF _Toc167895124 \h </w:instrText>
            </w:r>
            <w:r w:rsidR="007174DD">
              <w:rPr>
                <w:noProof/>
                <w:webHidden/>
              </w:rPr>
            </w:r>
            <w:r w:rsidR="007174DD">
              <w:rPr>
                <w:noProof/>
                <w:webHidden/>
              </w:rPr>
              <w:fldChar w:fldCharType="separate"/>
            </w:r>
            <w:r w:rsidR="007174DD">
              <w:rPr>
                <w:noProof/>
                <w:webHidden/>
              </w:rPr>
              <w:t>8</w:t>
            </w:r>
            <w:r w:rsidR="007174DD">
              <w:rPr>
                <w:noProof/>
                <w:webHidden/>
              </w:rPr>
              <w:fldChar w:fldCharType="end"/>
            </w:r>
          </w:hyperlink>
        </w:p>
        <w:p w14:paraId="07BAC2CF" w14:textId="763EE0A7" w:rsidR="007174DD" w:rsidRDefault="007174DD">
          <w:r>
            <w:rPr>
              <w:b/>
              <w:bCs/>
            </w:rPr>
            <w:fldChar w:fldCharType="end"/>
          </w:r>
        </w:p>
      </w:sdtContent>
    </w:sdt>
    <w:p w14:paraId="08949B1B" w14:textId="77777777" w:rsidR="008B0A88" w:rsidRDefault="008B0A88">
      <w:pPr>
        <w:rPr>
          <w:sz w:val="22"/>
          <w:szCs w:val="22"/>
        </w:rPr>
      </w:pPr>
    </w:p>
    <w:p w14:paraId="074479EF" w14:textId="77777777" w:rsidR="008B0A88" w:rsidRDefault="008B0A88">
      <w:pPr>
        <w:rPr>
          <w:sz w:val="22"/>
          <w:szCs w:val="22"/>
        </w:rPr>
      </w:pPr>
    </w:p>
    <w:p w14:paraId="378DDA79" w14:textId="77777777" w:rsidR="008B0A88" w:rsidRDefault="008B0A88">
      <w:pPr>
        <w:rPr>
          <w:sz w:val="22"/>
          <w:szCs w:val="22"/>
        </w:rPr>
      </w:pPr>
    </w:p>
    <w:p w14:paraId="0DE0F2B2" w14:textId="77777777" w:rsidR="008B0A88" w:rsidRDefault="008B0A88">
      <w:pPr>
        <w:rPr>
          <w:sz w:val="22"/>
          <w:szCs w:val="22"/>
        </w:rPr>
      </w:pPr>
    </w:p>
    <w:p w14:paraId="5A68F066" w14:textId="77777777" w:rsidR="008B0A88" w:rsidRDefault="008B0A88">
      <w:pPr>
        <w:rPr>
          <w:sz w:val="22"/>
          <w:szCs w:val="22"/>
        </w:rPr>
      </w:pPr>
    </w:p>
    <w:p w14:paraId="29BF8D91" w14:textId="77777777" w:rsidR="008B0A88" w:rsidRDefault="008B0A88">
      <w:pPr>
        <w:rPr>
          <w:sz w:val="22"/>
          <w:szCs w:val="22"/>
        </w:rPr>
      </w:pPr>
    </w:p>
    <w:p w14:paraId="7E1B9324" w14:textId="77777777" w:rsidR="008B0A88" w:rsidRDefault="008B0A88">
      <w:pPr>
        <w:rPr>
          <w:sz w:val="22"/>
          <w:szCs w:val="22"/>
        </w:rPr>
      </w:pPr>
    </w:p>
    <w:p w14:paraId="34991E71" w14:textId="77777777" w:rsidR="008B0A88" w:rsidRDefault="008B0A88">
      <w:pPr>
        <w:rPr>
          <w:sz w:val="22"/>
          <w:szCs w:val="22"/>
        </w:rPr>
      </w:pPr>
    </w:p>
    <w:p w14:paraId="1B1A9D7A" w14:textId="77777777" w:rsidR="008B0A88" w:rsidRDefault="008B0A88">
      <w:pPr>
        <w:rPr>
          <w:sz w:val="22"/>
          <w:szCs w:val="22"/>
        </w:rPr>
      </w:pPr>
    </w:p>
    <w:p w14:paraId="23E3A516" w14:textId="77777777" w:rsidR="008B0A88" w:rsidRDefault="008B0A88">
      <w:pPr>
        <w:rPr>
          <w:sz w:val="22"/>
          <w:szCs w:val="22"/>
        </w:rPr>
      </w:pPr>
    </w:p>
    <w:p w14:paraId="2E638312" w14:textId="77777777" w:rsidR="008B0A88" w:rsidRDefault="008B0A88">
      <w:pPr>
        <w:rPr>
          <w:sz w:val="22"/>
          <w:szCs w:val="22"/>
        </w:rPr>
      </w:pPr>
    </w:p>
    <w:p w14:paraId="5D5CA930" w14:textId="77777777" w:rsidR="008B0A88" w:rsidRDefault="008B0A88">
      <w:pPr>
        <w:rPr>
          <w:sz w:val="22"/>
          <w:szCs w:val="22"/>
        </w:rPr>
      </w:pPr>
    </w:p>
    <w:p w14:paraId="3A644FFF" w14:textId="77777777" w:rsidR="008B0A88" w:rsidRDefault="008B0A88">
      <w:pPr>
        <w:rPr>
          <w:sz w:val="22"/>
          <w:szCs w:val="22"/>
        </w:rPr>
      </w:pPr>
    </w:p>
    <w:p w14:paraId="6A06E6A5" w14:textId="77777777" w:rsidR="008B0A88" w:rsidRDefault="008B0A88">
      <w:pPr>
        <w:rPr>
          <w:sz w:val="22"/>
          <w:szCs w:val="22"/>
        </w:rPr>
      </w:pPr>
    </w:p>
    <w:p w14:paraId="7F206D33" w14:textId="77777777" w:rsidR="008B0A88" w:rsidRDefault="008B0A88">
      <w:pPr>
        <w:rPr>
          <w:sz w:val="22"/>
          <w:szCs w:val="22"/>
        </w:rPr>
      </w:pPr>
    </w:p>
    <w:p w14:paraId="17986D8B" w14:textId="77777777" w:rsidR="008B0A88" w:rsidRDefault="008B0A88">
      <w:pPr>
        <w:rPr>
          <w:sz w:val="22"/>
          <w:szCs w:val="22"/>
        </w:rPr>
      </w:pPr>
    </w:p>
    <w:p w14:paraId="54205027" w14:textId="77777777" w:rsidR="008B0A88" w:rsidRDefault="008B0A88">
      <w:pPr>
        <w:rPr>
          <w:sz w:val="22"/>
          <w:szCs w:val="22"/>
        </w:rPr>
      </w:pPr>
    </w:p>
    <w:p w14:paraId="5005F4A6" w14:textId="77777777" w:rsidR="008B0A88" w:rsidRDefault="008B0A88">
      <w:pPr>
        <w:rPr>
          <w:sz w:val="22"/>
          <w:szCs w:val="22"/>
        </w:rPr>
      </w:pPr>
    </w:p>
    <w:p w14:paraId="567B8B64" w14:textId="77777777" w:rsidR="008B0A88" w:rsidRDefault="008B0A88">
      <w:pPr>
        <w:rPr>
          <w:sz w:val="22"/>
          <w:szCs w:val="22"/>
        </w:rPr>
      </w:pPr>
    </w:p>
    <w:p w14:paraId="66C9ED58" w14:textId="77777777" w:rsidR="008B0A88" w:rsidRDefault="008B0A88">
      <w:pPr>
        <w:rPr>
          <w:sz w:val="22"/>
          <w:szCs w:val="22"/>
        </w:rPr>
      </w:pPr>
    </w:p>
    <w:p w14:paraId="6F668F3E" w14:textId="77777777" w:rsidR="008B0A88" w:rsidRDefault="008B0A88">
      <w:pPr>
        <w:rPr>
          <w:sz w:val="22"/>
          <w:szCs w:val="22"/>
        </w:rPr>
      </w:pPr>
    </w:p>
    <w:p w14:paraId="21B2D62E" w14:textId="77777777" w:rsidR="008B0A88" w:rsidRDefault="008B0A88">
      <w:pPr>
        <w:rPr>
          <w:sz w:val="22"/>
          <w:szCs w:val="22"/>
        </w:rPr>
      </w:pPr>
    </w:p>
    <w:p w14:paraId="0560309E" w14:textId="77777777" w:rsidR="008B0A88" w:rsidRDefault="008B0A88">
      <w:pPr>
        <w:rPr>
          <w:sz w:val="22"/>
          <w:szCs w:val="22"/>
        </w:rPr>
      </w:pPr>
    </w:p>
    <w:p w14:paraId="67E8E693" w14:textId="77777777" w:rsidR="008B0A88" w:rsidRDefault="008B0A88">
      <w:pPr>
        <w:rPr>
          <w:sz w:val="22"/>
          <w:szCs w:val="22"/>
        </w:rPr>
      </w:pPr>
    </w:p>
    <w:p w14:paraId="26AB3AA8" w14:textId="77777777" w:rsidR="007174DD" w:rsidRDefault="007174DD">
      <w:pPr>
        <w:rPr>
          <w:sz w:val="22"/>
          <w:szCs w:val="22"/>
        </w:rPr>
      </w:pPr>
    </w:p>
    <w:p w14:paraId="259E5D4B" w14:textId="77777777" w:rsidR="007174DD" w:rsidRDefault="007174DD">
      <w:pPr>
        <w:rPr>
          <w:sz w:val="22"/>
          <w:szCs w:val="22"/>
        </w:rPr>
      </w:pPr>
    </w:p>
    <w:p w14:paraId="5B9C9049" w14:textId="77777777" w:rsidR="007174DD" w:rsidRDefault="007174DD">
      <w:pPr>
        <w:rPr>
          <w:sz w:val="22"/>
          <w:szCs w:val="22"/>
        </w:rPr>
      </w:pPr>
    </w:p>
    <w:p w14:paraId="7198AED4" w14:textId="77777777" w:rsidR="007174DD" w:rsidRDefault="007174DD">
      <w:pPr>
        <w:rPr>
          <w:sz w:val="22"/>
          <w:szCs w:val="22"/>
        </w:rPr>
      </w:pPr>
    </w:p>
    <w:p w14:paraId="5A12EEEB" w14:textId="77777777" w:rsidR="007174DD" w:rsidRDefault="007174DD">
      <w:pPr>
        <w:rPr>
          <w:sz w:val="22"/>
          <w:szCs w:val="22"/>
        </w:rPr>
      </w:pPr>
    </w:p>
    <w:p w14:paraId="648F7E2C" w14:textId="77777777" w:rsidR="007174DD" w:rsidRDefault="007174DD">
      <w:pPr>
        <w:rPr>
          <w:sz w:val="22"/>
          <w:szCs w:val="22"/>
        </w:rPr>
      </w:pPr>
    </w:p>
    <w:p w14:paraId="3E41A254" w14:textId="77777777" w:rsidR="007174DD" w:rsidRDefault="007174DD">
      <w:pPr>
        <w:rPr>
          <w:sz w:val="22"/>
          <w:szCs w:val="22"/>
        </w:rPr>
      </w:pPr>
    </w:p>
    <w:p w14:paraId="6DBE5ADE" w14:textId="77777777" w:rsidR="007174DD" w:rsidRDefault="007174DD">
      <w:pPr>
        <w:rPr>
          <w:sz w:val="22"/>
          <w:szCs w:val="22"/>
        </w:rPr>
      </w:pPr>
    </w:p>
    <w:p w14:paraId="2EB380B5" w14:textId="77777777" w:rsidR="007174DD" w:rsidRDefault="007174DD">
      <w:pPr>
        <w:rPr>
          <w:sz w:val="22"/>
          <w:szCs w:val="22"/>
        </w:rPr>
      </w:pPr>
    </w:p>
    <w:p w14:paraId="4706015B" w14:textId="77777777" w:rsidR="008B0A88" w:rsidRDefault="008B0A88">
      <w:pPr>
        <w:rPr>
          <w:sz w:val="22"/>
          <w:szCs w:val="22"/>
        </w:rPr>
      </w:pPr>
    </w:p>
    <w:p w14:paraId="56843D60" w14:textId="77777777" w:rsidR="008B0A88" w:rsidRDefault="008B0A88">
      <w:pPr>
        <w:rPr>
          <w:sz w:val="22"/>
          <w:szCs w:val="22"/>
        </w:rPr>
      </w:pPr>
    </w:p>
    <w:p w14:paraId="66E65FEB" w14:textId="77777777" w:rsidR="008B0A88" w:rsidRDefault="008B0A88">
      <w:pPr>
        <w:rPr>
          <w:sz w:val="22"/>
          <w:szCs w:val="22"/>
        </w:rPr>
      </w:pPr>
    </w:p>
    <w:p w14:paraId="6095B073" w14:textId="77777777" w:rsidR="008B0A88" w:rsidRPr="007174DD" w:rsidRDefault="008B0A88">
      <w:pPr>
        <w:rPr>
          <w:szCs w:val="24"/>
        </w:rPr>
      </w:pPr>
    </w:p>
    <w:p w14:paraId="642E3705" w14:textId="7A416304" w:rsidR="000A7E77" w:rsidRPr="007174DD" w:rsidRDefault="007B085F" w:rsidP="007B085F">
      <w:pPr>
        <w:pStyle w:val="Titre2"/>
        <w:numPr>
          <w:ilvl w:val="0"/>
          <w:numId w:val="26"/>
        </w:numPr>
        <w:rPr>
          <w:rFonts w:ascii="Times New Roman" w:hAnsi="Times New Roman" w:cs="Times New Roman"/>
          <w:b/>
          <w:bCs/>
          <w:sz w:val="24"/>
          <w:szCs w:val="24"/>
        </w:rPr>
      </w:pPr>
      <w:bookmarkStart w:id="0" w:name="_Toc167895116"/>
      <w:r w:rsidRPr="007174DD">
        <w:rPr>
          <w:rFonts w:ascii="Times New Roman" w:hAnsi="Times New Roman" w:cs="Times New Roman"/>
          <w:b/>
          <w:bCs/>
          <w:sz w:val="24"/>
          <w:szCs w:val="24"/>
        </w:rPr>
        <w:t>Commanditaire</w:t>
      </w:r>
      <w:bookmarkEnd w:id="0"/>
      <w:r w:rsidRPr="007174DD">
        <w:rPr>
          <w:rFonts w:ascii="Times New Roman" w:hAnsi="Times New Roman" w:cs="Times New Roman"/>
          <w:b/>
          <w:bCs/>
          <w:sz w:val="24"/>
          <w:szCs w:val="24"/>
        </w:rPr>
        <w:t xml:space="preserve"> </w:t>
      </w:r>
    </w:p>
    <w:p w14:paraId="4DC3DFFB" w14:textId="77777777" w:rsidR="000A7E77" w:rsidRPr="007174DD" w:rsidRDefault="000A7E77">
      <w:pPr>
        <w:rPr>
          <w:szCs w:val="24"/>
          <w:u w:val="single"/>
        </w:rPr>
      </w:pPr>
    </w:p>
    <w:p w14:paraId="4D08D1BF" w14:textId="6C1776F0" w:rsidR="000A7E77" w:rsidRPr="007174DD" w:rsidRDefault="000A7E77" w:rsidP="008B0A88">
      <w:pPr>
        <w:pStyle w:val="Titre2"/>
        <w:numPr>
          <w:ilvl w:val="0"/>
          <w:numId w:val="28"/>
        </w:numPr>
        <w:rPr>
          <w:rFonts w:ascii="Times New Roman" w:hAnsi="Times New Roman" w:cs="Times New Roman"/>
          <w:sz w:val="24"/>
          <w:szCs w:val="24"/>
        </w:rPr>
      </w:pPr>
      <w:bookmarkStart w:id="1" w:name="_Toc479086648"/>
      <w:bookmarkStart w:id="2" w:name="_Toc167895117"/>
      <w:r w:rsidRPr="007174DD">
        <w:rPr>
          <w:rFonts w:ascii="Times New Roman" w:hAnsi="Times New Roman" w:cs="Times New Roman"/>
          <w:sz w:val="24"/>
          <w:szCs w:val="24"/>
        </w:rPr>
        <w:t>L’AIMF</w:t>
      </w:r>
      <w:bookmarkEnd w:id="1"/>
      <w:bookmarkEnd w:id="2"/>
    </w:p>
    <w:p w14:paraId="66636DA4" w14:textId="77777777" w:rsidR="000A7E77" w:rsidRPr="007174DD" w:rsidRDefault="000A7E77" w:rsidP="000A7E77">
      <w:pPr>
        <w:rPr>
          <w:szCs w:val="24"/>
        </w:rPr>
      </w:pPr>
    </w:p>
    <w:p w14:paraId="0F7223F1" w14:textId="77777777" w:rsidR="000A7E77" w:rsidRPr="007174DD" w:rsidRDefault="000A7E77" w:rsidP="000A7E77">
      <w:pPr>
        <w:jc w:val="both"/>
        <w:rPr>
          <w:szCs w:val="24"/>
        </w:rPr>
      </w:pPr>
      <w:r w:rsidRPr="007174DD">
        <w:rPr>
          <w:szCs w:val="24"/>
        </w:rPr>
        <w:t>L’AIMF est le réseau mondial des élus locaux francophones. Ensemble, ils nourrissent la vision d’une ville de demain porteuse d’une croissance durable et partagée, qui place l’homme au cœur du projet urbain. Ils développent une nouvelle forme de coopération qui combine une réflexion commune au plus haut niveau et une action de terrain qui donne la priorité à l’innovation et à l’expertise locale.</w:t>
      </w:r>
    </w:p>
    <w:p w14:paraId="28D99597" w14:textId="77777777" w:rsidR="000A7E77" w:rsidRPr="007174DD" w:rsidRDefault="000A7E77" w:rsidP="000A7E77">
      <w:pPr>
        <w:jc w:val="both"/>
        <w:rPr>
          <w:szCs w:val="24"/>
        </w:rPr>
      </w:pPr>
    </w:p>
    <w:p w14:paraId="3E4C8ECF" w14:textId="77777777" w:rsidR="000A7E77" w:rsidRPr="007174DD" w:rsidRDefault="000A7E77" w:rsidP="000A7E77">
      <w:pPr>
        <w:jc w:val="both"/>
        <w:rPr>
          <w:szCs w:val="24"/>
        </w:rPr>
      </w:pPr>
      <w:r w:rsidRPr="007174DD">
        <w:rPr>
          <w:szCs w:val="24"/>
        </w:rPr>
        <w:t>L’AIMF rassemble plus de 300 villes et Associations de villes dans 50 pays.</w:t>
      </w:r>
    </w:p>
    <w:p w14:paraId="1A0F6395" w14:textId="77777777" w:rsidR="000A7E77" w:rsidRPr="007174DD" w:rsidRDefault="000A7E77" w:rsidP="000A7E77">
      <w:pPr>
        <w:jc w:val="both"/>
        <w:rPr>
          <w:szCs w:val="24"/>
        </w:rPr>
      </w:pPr>
    </w:p>
    <w:p w14:paraId="5B6C1070" w14:textId="77777777" w:rsidR="000A7E77" w:rsidRPr="007174DD" w:rsidRDefault="000A7E77" w:rsidP="000A7E77">
      <w:pPr>
        <w:jc w:val="both"/>
        <w:rPr>
          <w:szCs w:val="24"/>
        </w:rPr>
      </w:pPr>
      <w:r w:rsidRPr="007174DD">
        <w:rPr>
          <w:szCs w:val="24"/>
        </w:rPr>
        <w:t>Elle a pour mission de porter la voix de ses membres pour faire prendre en compte leurs positions dans les différentes enceintes de décision et de mettre en œuvre des projets concrets en matière de développement urbain.</w:t>
      </w:r>
    </w:p>
    <w:p w14:paraId="45D156BF" w14:textId="77777777" w:rsidR="000A7E77" w:rsidRPr="007174DD" w:rsidRDefault="000A7E77" w:rsidP="000A7E77">
      <w:pPr>
        <w:jc w:val="both"/>
        <w:rPr>
          <w:b/>
          <w:bCs/>
          <w:szCs w:val="24"/>
        </w:rPr>
      </w:pPr>
    </w:p>
    <w:p w14:paraId="5C6654BB" w14:textId="7716EEBA" w:rsidR="000A7E77" w:rsidRPr="007174DD" w:rsidRDefault="000A7E77" w:rsidP="000A7E77">
      <w:pPr>
        <w:jc w:val="both"/>
        <w:rPr>
          <w:szCs w:val="24"/>
        </w:rPr>
      </w:pPr>
      <w:r w:rsidRPr="007174DD">
        <w:rPr>
          <w:b/>
          <w:bCs/>
          <w:szCs w:val="24"/>
        </w:rPr>
        <w:t>Pour l’AIMF</w:t>
      </w:r>
      <w:r w:rsidRPr="007174DD">
        <w:rPr>
          <w:szCs w:val="24"/>
        </w:rPr>
        <w:t xml:space="preserve">, ce partenariat qui vient compléter une série de soutiens publics et privés (France, Wallonie, Canada, Québec, Fondation Bill &amp; Melinda Gates pour les plus importants), est à la fois : </w:t>
      </w:r>
    </w:p>
    <w:p w14:paraId="29D173EA" w14:textId="77777777" w:rsidR="000A7E77" w:rsidRPr="007174DD" w:rsidRDefault="000A7E77" w:rsidP="000A7E77">
      <w:pPr>
        <w:jc w:val="both"/>
        <w:rPr>
          <w:szCs w:val="24"/>
        </w:rPr>
      </w:pPr>
    </w:p>
    <w:p w14:paraId="5CCD7F45" w14:textId="77777777" w:rsidR="000A7E77" w:rsidRPr="007174DD" w:rsidRDefault="000A7E77" w:rsidP="000A7E77">
      <w:pPr>
        <w:pStyle w:val="Paragraphedeliste"/>
        <w:numPr>
          <w:ilvl w:val="0"/>
          <w:numId w:val="3"/>
        </w:numPr>
        <w:spacing w:after="160" w:line="259" w:lineRule="auto"/>
        <w:jc w:val="both"/>
        <w:rPr>
          <w:szCs w:val="24"/>
        </w:rPr>
      </w:pPr>
      <w:r w:rsidRPr="007174DD">
        <w:rPr>
          <w:b/>
          <w:bCs/>
          <w:szCs w:val="24"/>
        </w:rPr>
        <w:t>une reconnaissance de son rôle, de sa démarche, et de la pertinence de ses programmes</w:t>
      </w:r>
      <w:r w:rsidRPr="007174DD">
        <w:rPr>
          <w:szCs w:val="24"/>
        </w:rPr>
        <w:t>, à travers l’engagement d’un acteur majeur de la scène internationale autour de ses programmes ;</w:t>
      </w:r>
    </w:p>
    <w:p w14:paraId="52986523" w14:textId="77777777" w:rsidR="000A7E77" w:rsidRPr="007174DD" w:rsidRDefault="000A7E77" w:rsidP="000A7E77">
      <w:pPr>
        <w:pStyle w:val="Paragraphedeliste"/>
        <w:numPr>
          <w:ilvl w:val="0"/>
          <w:numId w:val="3"/>
        </w:numPr>
        <w:spacing w:after="160" w:line="259" w:lineRule="auto"/>
        <w:jc w:val="both"/>
        <w:rPr>
          <w:szCs w:val="24"/>
        </w:rPr>
      </w:pPr>
      <w:r w:rsidRPr="007174DD">
        <w:rPr>
          <w:b/>
          <w:bCs/>
          <w:szCs w:val="24"/>
        </w:rPr>
        <w:t>une contribution à la mise en œuvre de sa programmation stratégique</w:t>
      </w:r>
      <w:r w:rsidRPr="007174DD">
        <w:rPr>
          <w:szCs w:val="24"/>
        </w:rPr>
        <w:t>, qui permet de mobiliser des moyens autour de certains de ses programmes</w:t>
      </w:r>
      <w:r w:rsidRPr="007174DD">
        <w:rPr>
          <w:b/>
          <w:bCs/>
          <w:szCs w:val="24"/>
        </w:rPr>
        <w:t xml:space="preserve"> </w:t>
      </w:r>
      <w:r w:rsidRPr="007174DD">
        <w:rPr>
          <w:szCs w:val="24"/>
        </w:rPr>
        <w:t xml:space="preserve">(plaidoyers des villes et échanges sur certaines thématiques, dialogue régional, projets des villes). </w:t>
      </w:r>
    </w:p>
    <w:p w14:paraId="2CCBE9E1" w14:textId="77777777" w:rsidR="007B085F" w:rsidRPr="007174DD" w:rsidRDefault="007B085F" w:rsidP="007B085F">
      <w:pPr>
        <w:spacing w:after="160" w:line="259" w:lineRule="auto"/>
        <w:ind w:left="360"/>
        <w:jc w:val="both"/>
        <w:rPr>
          <w:szCs w:val="24"/>
        </w:rPr>
      </w:pPr>
    </w:p>
    <w:p w14:paraId="4C12052D" w14:textId="42BFE424" w:rsidR="000A7E77" w:rsidRPr="007174DD" w:rsidRDefault="000F25C3" w:rsidP="000F25C3">
      <w:pPr>
        <w:pStyle w:val="Titre2"/>
        <w:numPr>
          <w:ilvl w:val="0"/>
          <w:numId w:val="28"/>
        </w:numPr>
        <w:rPr>
          <w:rFonts w:ascii="Times New Roman" w:hAnsi="Times New Roman" w:cs="Times New Roman"/>
          <w:sz w:val="24"/>
          <w:szCs w:val="24"/>
        </w:rPr>
      </w:pPr>
      <w:bookmarkStart w:id="3" w:name="_Toc167895118"/>
      <w:r w:rsidRPr="007174DD">
        <w:rPr>
          <w:rFonts w:ascii="Times New Roman" w:hAnsi="Times New Roman" w:cs="Times New Roman"/>
          <w:sz w:val="24"/>
          <w:szCs w:val="24"/>
        </w:rPr>
        <w:t>Présentation générale du partenariat stratégique l’AIMF-Union européenne</w:t>
      </w:r>
      <w:bookmarkEnd w:id="3"/>
    </w:p>
    <w:p w14:paraId="154EE5A4" w14:textId="77777777" w:rsidR="00131DF4" w:rsidRPr="007174DD" w:rsidRDefault="00131DF4" w:rsidP="00131DF4">
      <w:pPr>
        <w:rPr>
          <w:szCs w:val="24"/>
        </w:rPr>
      </w:pPr>
    </w:p>
    <w:p w14:paraId="2027B87B" w14:textId="77777777" w:rsidR="007B085F" w:rsidRPr="007174DD" w:rsidRDefault="007B085F" w:rsidP="007B085F">
      <w:pPr>
        <w:jc w:val="both"/>
        <w:rPr>
          <w:szCs w:val="24"/>
        </w:rPr>
      </w:pPr>
      <w:r w:rsidRPr="007174DD">
        <w:rPr>
          <w:b/>
          <w:bCs/>
          <w:szCs w:val="24"/>
        </w:rPr>
        <w:t>Jusqu’au début des années 2000, les autorités locales n’étaient que marginalement prises en compte dans les politiques de développement de l’Union européenne</w:t>
      </w:r>
      <w:r w:rsidRPr="007174DD">
        <w:rPr>
          <w:szCs w:val="24"/>
        </w:rPr>
        <w:t xml:space="preserve"> (FED, Europeaid). Au titre des acteurs « non étatiques » émargeaient ainsi quasi-exclusivement les ONG. La donne a commencé à changer en 2007, avec l’adoption du rapport de Pierre Schapira au Parlement européen (Député européen, Adjoint au Maire de Paris pour les Relations internationales et la Francophonie). </w:t>
      </w:r>
    </w:p>
    <w:p w14:paraId="314FB44E" w14:textId="77777777" w:rsidR="00131DF4" w:rsidRPr="007174DD" w:rsidRDefault="00131DF4" w:rsidP="007B085F">
      <w:pPr>
        <w:jc w:val="both"/>
        <w:rPr>
          <w:szCs w:val="24"/>
        </w:rPr>
      </w:pPr>
    </w:p>
    <w:p w14:paraId="7BCC9E5D" w14:textId="77777777" w:rsidR="007B085F" w:rsidRPr="007174DD" w:rsidRDefault="007B085F" w:rsidP="007B085F">
      <w:pPr>
        <w:jc w:val="both"/>
        <w:rPr>
          <w:szCs w:val="24"/>
        </w:rPr>
      </w:pPr>
      <w:r w:rsidRPr="007174DD">
        <w:rPr>
          <w:szCs w:val="24"/>
        </w:rPr>
        <w:t>La Commission européenne a choisi plusieurs partenaires</w:t>
      </w:r>
      <w:r w:rsidRPr="007174DD">
        <w:rPr>
          <w:b/>
          <w:bCs/>
          <w:szCs w:val="24"/>
        </w:rPr>
        <w:t xml:space="preserve"> </w:t>
      </w:r>
      <w:r w:rsidRPr="007174DD">
        <w:rPr>
          <w:szCs w:val="24"/>
        </w:rPr>
        <w:t xml:space="preserve">engagés dans les domaines d’activité concernés, avec lesquels elle partage des priorités communes et souhaite établir une relation de coopération dans la durée. Les Partenariats stratégiques signés avec 5 réseaux de villes (CGLU, CGLU Afrique, AIMF, CLGF et CCRE/Platforma ) </w:t>
      </w:r>
      <w:r w:rsidRPr="007174DD">
        <w:rPr>
          <w:b/>
          <w:bCs/>
          <w:szCs w:val="24"/>
        </w:rPr>
        <w:t xml:space="preserve">sont ainsi pour l’Union européenne des outils à travers lesquels elle met en œuvre sa </w:t>
      </w:r>
      <w:bookmarkStart w:id="4" w:name="_Hlk122241309"/>
      <w:r w:rsidRPr="007174DD">
        <w:rPr>
          <w:b/>
          <w:bCs/>
          <w:szCs w:val="24"/>
        </w:rPr>
        <w:t>politique de coopération internationale</w:t>
      </w:r>
      <w:r w:rsidRPr="007174DD">
        <w:rPr>
          <w:szCs w:val="24"/>
        </w:rPr>
        <w:t xml:space="preserve">, en s’appuyant sur les autorités locales. </w:t>
      </w:r>
      <w:bookmarkEnd w:id="4"/>
    </w:p>
    <w:p w14:paraId="73E4425A" w14:textId="77777777" w:rsidR="007B085F" w:rsidRPr="007174DD" w:rsidRDefault="007B085F" w:rsidP="007B085F">
      <w:pPr>
        <w:jc w:val="both"/>
        <w:rPr>
          <w:szCs w:val="24"/>
        </w:rPr>
      </w:pPr>
    </w:p>
    <w:p w14:paraId="16D27E8B" w14:textId="3ECF7239" w:rsidR="007B085F" w:rsidRPr="007174DD" w:rsidRDefault="007B085F" w:rsidP="007B085F">
      <w:pPr>
        <w:jc w:val="both"/>
        <w:rPr>
          <w:szCs w:val="24"/>
        </w:rPr>
      </w:pPr>
      <w:r w:rsidRPr="007174DD">
        <w:rPr>
          <w:szCs w:val="24"/>
        </w:rPr>
        <w:t xml:space="preserve">L’engagement de la Commission européenne en faveur des autorités locales est  d’autant plus à souligner qu’il n’est pas partagé par toutes les organisations multilatérales, souvent centrées </w:t>
      </w:r>
      <w:r w:rsidRPr="007174DD">
        <w:rPr>
          <w:szCs w:val="24"/>
        </w:rPr>
        <w:lastRenderedPageBreak/>
        <w:t>sur le niveau gouvernemental et les ONG, et frileuses à l’idée de reconnaître et d’appuyer directement les villes.</w:t>
      </w:r>
    </w:p>
    <w:p w14:paraId="6F405091" w14:textId="77777777" w:rsidR="00131DF4" w:rsidRPr="007174DD" w:rsidRDefault="00131DF4" w:rsidP="007B085F">
      <w:pPr>
        <w:jc w:val="both"/>
        <w:rPr>
          <w:szCs w:val="24"/>
        </w:rPr>
      </w:pPr>
    </w:p>
    <w:p w14:paraId="355A140A" w14:textId="77777777" w:rsidR="00131DF4" w:rsidRPr="007174DD" w:rsidRDefault="00131DF4" w:rsidP="00131DF4">
      <w:pPr>
        <w:jc w:val="both"/>
        <w:rPr>
          <w:szCs w:val="24"/>
        </w:rPr>
      </w:pPr>
      <w:r w:rsidRPr="007174DD">
        <w:rPr>
          <w:b/>
          <w:bCs/>
          <w:szCs w:val="24"/>
        </w:rPr>
        <w:t>L’AIMF a alors été pionnière</w:t>
      </w:r>
      <w:r w:rsidRPr="007174DD">
        <w:rPr>
          <w:szCs w:val="24"/>
        </w:rPr>
        <w:t xml:space="preserve"> pour concrétiser ce partenariat entre autorités locales et Union européenne sur les sujets de coopération au développement. Elle a pris plusieurs initiatives pour faciliter le dialogue entre les Maires et la Commission, pour contribuer à une meilleure prise en compte des problématiques des autorités locales, et pour appuyer concrètement les villes à accéder aux financements européens.</w:t>
      </w:r>
    </w:p>
    <w:p w14:paraId="54D9400C" w14:textId="77777777" w:rsidR="00131DF4" w:rsidRPr="007174DD" w:rsidRDefault="00131DF4" w:rsidP="00131DF4">
      <w:pPr>
        <w:jc w:val="both"/>
        <w:rPr>
          <w:szCs w:val="24"/>
        </w:rPr>
      </w:pPr>
      <w:r w:rsidRPr="007174DD">
        <w:rPr>
          <w:szCs w:val="24"/>
        </w:rPr>
        <w:t xml:space="preserve">L’Union européenne a pour sa part largement renforcé la prise en compte des autorités locales, notamment à travers le cadre politique qu’elle a mis en place, en particulier depuis 2013 (Consensus européen pour le Développement de 2017 etc). </w:t>
      </w:r>
      <w:r w:rsidRPr="007174DD">
        <w:rPr>
          <w:b/>
          <w:bCs/>
          <w:szCs w:val="24"/>
        </w:rPr>
        <w:t>La signature du Partenariat stratégique en 2015 a marqué un tournant.</w:t>
      </w:r>
      <w:r w:rsidRPr="007174DD">
        <w:rPr>
          <w:szCs w:val="24"/>
        </w:rPr>
        <w:t xml:space="preserve"> Dépassant la dimension technique, le partenariat prenait à travers cet accord tout son sens politique, en marquant l’engagement de l’Union européenne aux côtés de collectivités locales, et la reconnaissance de leur rôle pour répondre aux grands défis mondiaux.</w:t>
      </w:r>
    </w:p>
    <w:p w14:paraId="1FA9E4CE" w14:textId="77777777" w:rsidR="000A7E77" w:rsidRPr="007174DD" w:rsidRDefault="000A7E77" w:rsidP="000A7E77">
      <w:pPr>
        <w:jc w:val="both"/>
        <w:rPr>
          <w:szCs w:val="24"/>
        </w:rPr>
      </w:pPr>
    </w:p>
    <w:p w14:paraId="53BB7FB6" w14:textId="1050216E" w:rsidR="000A7E77" w:rsidRPr="007174DD" w:rsidRDefault="000A7E77" w:rsidP="000A7E77">
      <w:pPr>
        <w:jc w:val="both"/>
        <w:rPr>
          <w:szCs w:val="24"/>
        </w:rPr>
      </w:pPr>
      <w:r w:rsidRPr="007174DD">
        <w:rPr>
          <w:szCs w:val="24"/>
        </w:rPr>
        <w:t>Un partenariat durable construit autour d’une ambition commune : donner aux villes les moyens de jouer pleinement leur rôle face aux grands défis mondiaux</w:t>
      </w:r>
      <w:r w:rsidR="00886904" w:rsidRPr="007174DD">
        <w:rPr>
          <w:szCs w:val="24"/>
        </w:rPr>
        <w:t>.</w:t>
      </w:r>
    </w:p>
    <w:p w14:paraId="60884FE4" w14:textId="77777777" w:rsidR="00886904" w:rsidRPr="007174DD" w:rsidRDefault="00886904" w:rsidP="000A7E77">
      <w:pPr>
        <w:jc w:val="both"/>
        <w:rPr>
          <w:szCs w:val="24"/>
        </w:rPr>
      </w:pPr>
    </w:p>
    <w:p w14:paraId="5B1F50E4" w14:textId="77777777" w:rsidR="000A7E77" w:rsidRPr="007174DD" w:rsidRDefault="000A7E77" w:rsidP="000A7E77">
      <w:pPr>
        <w:jc w:val="both"/>
        <w:rPr>
          <w:szCs w:val="24"/>
        </w:rPr>
      </w:pPr>
      <w:r w:rsidRPr="007174DD">
        <w:rPr>
          <w:szCs w:val="24"/>
        </w:rPr>
        <w:t>Le rôle des autorités locales est majeur face aux grands défis environnementaux, économiques et sociaux de notre époque. 65% des 169 cibles des 17 Objectifs de Développement Durable définis par l’ONU ne pourront être atteints que grâce à l’implication des collectivités territoriales.</w:t>
      </w:r>
    </w:p>
    <w:p w14:paraId="57B843ED" w14:textId="77777777" w:rsidR="00886904" w:rsidRPr="007174DD" w:rsidRDefault="00886904" w:rsidP="000A7E77">
      <w:pPr>
        <w:jc w:val="both"/>
        <w:rPr>
          <w:szCs w:val="24"/>
        </w:rPr>
      </w:pPr>
    </w:p>
    <w:p w14:paraId="5B6F2A9F" w14:textId="77777777" w:rsidR="000A7E77" w:rsidRPr="007174DD" w:rsidRDefault="000A7E77" w:rsidP="000A7E77">
      <w:pPr>
        <w:jc w:val="both"/>
        <w:rPr>
          <w:szCs w:val="24"/>
        </w:rPr>
      </w:pPr>
      <w:r w:rsidRPr="007174DD">
        <w:rPr>
          <w:szCs w:val="24"/>
        </w:rPr>
        <w:t>Pour relever ce défi, il faut donner aux Maires les moyens de jouer pleinement leur rôle. Cela passe par leur reconnaissance et l’aboutissement de leurs plaidoyers du national à l’international, par un approfondissement des décentralisations, par un renforcement de leur capacité à assurer leur mandat au bénéfice des populations. Au sein de l’AIMF, les Maires de 300 capitales et métropoles, ainsi que leurs associations faîtières travaillent ensemble à faire avancer ces positions et à les concrétiser.</w:t>
      </w:r>
    </w:p>
    <w:p w14:paraId="52C2EFE6" w14:textId="74F256DD" w:rsidR="000A7E77" w:rsidRPr="007174DD" w:rsidRDefault="000A7E77" w:rsidP="000A7E77">
      <w:pPr>
        <w:jc w:val="both"/>
        <w:rPr>
          <w:szCs w:val="24"/>
        </w:rPr>
      </w:pPr>
      <w:r w:rsidRPr="007174DD">
        <w:rPr>
          <w:szCs w:val="24"/>
        </w:rPr>
        <w:t>Parce qu’elle croit en cette démarche portée par les autorités locales et en sa pertinence pour répondre aux grands défis mondiaux</w:t>
      </w:r>
      <w:r w:rsidR="00FD4C54">
        <w:rPr>
          <w:szCs w:val="24"/>
        </w:rPr>
        <w:t>.</w:t>
      </w:r>
    </w:p>
    <w:p w14:paraId="3AC7065A" w14:textId="1842541A" w:rsidR="000A7E77" w:rsidRPr="007174DD" w:rsidRDefault="000A7E77" w:rsidP="000A7E77">
      <w:pPr>
        <w:jc w:val="both"/>
        <w:rPr>
          <w:szCs w:val="24"/>
        </w:rPr>
      </w:pPr>
    </w:p>
    <w:p w14:paraId="7E2F4A8E" w14:textId="77777777" w:rsidR="00FD4C54" w:rsidRDefault="000A7E77" w:rsidP="000A7E77">
      <w:pPr>
        <w:jc w:val="both"/>
        <w:rPr>
          <w:szCs w:val="24"/>
        </w:rPr>
      </w:pPr>
      <w:r w:rsidRPr="007174DD">
        <w:rPr>
          <w:szCs w:val="24"/>
        </w:rPr>
        <w:t xml:space="preserve">La mise en œuvre de ce partenariat stratégique </w:t>
      </w:r>
      <w:r w:rsidR="00FD4C54">
        <w:rPr>
          <w:szCs w:val="24"/>
        </w:rPr>
        <w:t xml:space="preserve">renouvelé pour 7 ans en 2022 </w:t>
      </w:r>
      <w:r w:rsidRPr="007174DD">
        <w:rPr>
          <w:szCs w:val="24"/>
        </w:rPr>
        <w:t>se matérialise par un programme d’action construit et mené par les villes avec l’appui de l’AIMF</w:t>
      </w:r>
      <w:r w:rsidR="00FD4C54">
        <w:rPr>
          <w:szCs w:val="24"/>
        </w:rPr>
        <w:t>.</w:t>
      </w:r>
    </w:p>
    <w:p w14:paraId="004B7A6C" w14:textId="36700246" w:rsidR="000A7E77" w:rsidRPr="007174DD" w:rsidRDefault="00FD4C54" w:rsidP="000A7E77">
      <w:pPr>
        <w:jc w:val="both"/>
        <w:rPr>
          <w:szCs w:val="24"/>
        </w:rPr>
      </w:pPr>
      <w:r>
        <w:rPr>
          <w:szCs w:val="24"/>
        </w:rPr>
        <w:t>Une programmation qui prend vit pour la 3éme phase</w:t>
      </w:r>
      <w:r w:rsidR="008B553A">
        <w:rPr>
          <w:szCs w:val="24"/>
        </w:rPr>
        <w:t xml:space="preserve">  </w:t>
      </w:r>
      <w:r>
        <w:rPr>
          <w:szCs w:val="24"/>
        </w:rPr>
        <w:t xml:space="preserve"> dans le </w:t>
      </w:r>
      <w:r w:rsidR="008B0F75">
        <w:rPr>
          <w:szCs w:val="24"/>
        </w:rPr>
        <w:t>SGA3</w:t>
      </w:r>
      <w:r>
        <w:rPr>
          <w:szCs w:val="24"/>
        </w:rPr>
        <w:t xml:space="preserve"> </w:t>
      </w:r>
      <w:r w:rsidR="008B0F75">
        <w:rPr>
          <w:szCs w:val="24"/>
        </w:rPr>
        <w:t>qui est l’instrument opérationnel de ses accords</w:t>
      </w:r>
      <w:r w:rsidR="000A7E77" w:rsidRPr="007174DD">
        <w:rPr>
          <w:szCs w:val="24"/>
        </w:rPr>
        <w:t>. En plus de soutenir le renforcement de l’expertise territoriale et le dialogue entre les différentes échelles de gouvernement, ce programme a donc un impact renforcé au service des populations.</w:t>
      </w:r>
    </w:p>
    <w:p w14:paraId="6AA43EE6" w14:textId="77777777" w:rsidR="000A7E77" w:rsidRPr="007174DD" w:rsidRDefault="000A7E77" w:rsidP="000A7E77">
      <w:pPr>
        <w:jc w:val="both"/>
        <w:rPr>
          <w:szCs w:val="24"/>
        </w:rPr>
      </w:pPr>
      <w:r w:rsidRPr="007174DD">
        <w:rPr>
          <w:szCs w:val="24"/>
        </w:rPr>
        <w:t xml:space="preserve">Il permet particulièrement : </w:t>
      </w:r>
    </w:p>
    <w:p w14:paraId="1F970CD4" w14:textId="77777777" w:rsidR="000A7E77" w:rsidRPr="007174DD" w:rsidRDefault="000A7E77" w:rsidP="000A7E77">
      <w:pPr>
        <w:pStyle w:val="Paragraphedeliste"/>
        <w:numPr>
          <w:ilvl w:val="0"/>
          <w:numId w:val="4"/>
        </w:numPr>
        <w:jc w:val="both"/>
        <w:rPr>
          <w:szCs w:val="24"/>
        </w:rPr>
      </w:pPr>
      <w:r w:rsidRPr="007174DD">
        <w:rPr>
          <w:szCs w:val="24"/>
        </w:rPr>
        <w:t>Le renforcement du dialogue régional entre autorités locales comme élément déterminant pour la prévention des conflits, la stabilité et le co-développement. Au-delà des discours, il s’agit de faire de la mise réseau à l’échelle sous-régionale un levier d’action pour les villes.</w:t>
      </w:r>
    </w:p>
    <w:p w14:paraId="59B6D581" w14:textId="77777777" w:rsidR="000A7E77" w:rsidRPr="007174DD" w:rsidRDefault="000A7E77" w:rsidP="000A7E77">
      <w:pPr>
        <w:pStyle w:val="Paragraphedeliste"/>
        <w:jc w:val="both"/>
        <w:rPr>
          <w:szCs w:val="24"/>
        </w:rPr>
      </w:pPr>
    </w:p>
    <w:p w14:paraId="6C5C107A" w14:textId="56016015" w:rsidR="008B0F75" w:rsidRDefault="000A7E77" w:rsidP="000A7E77">
      <w:pPr>
        <w:pStyle w:val="Paragraphedeliste"/>
        <w:numPr>
          <w:ilvl w:val="0"/>
          <w:numId w:val="4"/>
        </w:numPr>
        <w:jc w:val="both"/>
        <w:rPr>
          <w:szCs w:val="24"/>
        </w:rPr>
      </w:pPr>
      <w:r w:rsidRPr="007174DD">
        <w:rPr>
          <w:szCs w:val="24"/>
        </w:rPr>
        <w:t xml:space="preserve">L’appui aux projets des municipalités en faveur de l’égalité de genre, de l’environnement, de l’accès aux services essentiels. </w:t>
      </w:r>
    </w:p>
    <w:p w14:paraId="22F0FF46" w14:textId="77777777" w:rsidR="008B0F75" w:rsidRPr="008B0F75" w:rsidRDefault="008B0F75" w:rsidP="008B0F75">
      <w:pPr>
        <w:pStyle w:val="Paragraphedeliste"/>
        <w:rPr>
          <w:szCs w:val="24"/>
        </w:rPr>
      </w:pPr>
    </w:p>
    <w:p w14:paraId="7144F5E6" w14:textId="13C44A1E" w:rsidR="000A7E77" w:rsidRPr="008B0F75" w:rsidRDefault="000A7E77" w:rsidP="008B0F75">
      <w:pPr>
        <w:jc w:val="both"/>
        <w:rPr>
          <w:szCs w:val="24"/>
        </w:rPr>
      </w:pPr>
      <w:r w:rsidRPr="008B0F75">
        <w:rPr>
          <w:szCs w:val="24"/>
        </w:rPr>
        <w:t>En s’appuyant sur la méthodologie développée avec succès par l’AIMF depuis près de 40 ans, il s’agit de soutenir les programmes voulus et mis en œuvre par les villes.</w:t>
      </w:r>
    </w:p>
    <w:p w14:paraId="7DED1B4E" w14:textId="30E2CC2F" w:rsidR="000A7E77" w:rsidRPr="007174DD" w:rsidRDefault="000A7E77" w:rsidP="000A7E77">
      <w:pPr>
        <w:jc w:val="both"/>
        <w:rPr>
          <w:szCs w:val="24"/>
        </w:rPr>
      </w:pPr>
      <w:r w:rsidRPr="007174DD">
        <w:rPr>
          <w:szCs w:val="24"/>
        </w:rPr>
        <w:t xml:space="preserve">Pour la mise en œuvre </w:t>
      </w:r>
      <w:r w:rsidR="008B553A">
        <w:rPr>
          <w:szCs w:val="24"/>
        </w:rPr>
        <w:t>du SGA3</w:t>
      </w:r>
      <w:r w:rsidRPr="007174DD">
        <w:rPr>
          <w:szCs w:val="24"/>
        </w:rPr>
        <w:t>, un budget de 5 millions d’euros est mobilisé sur la période 2022-202</w:t>
      </w:r>
      <w:r w:rsidR="008B0F75">
        <w:rPr>
          <w:szCs w:val="24"/>
        </w:rPr>
        <w:t>5</w:t>
      </w:r>
      <w:r w:rsidRPr="007174DD">
        <w:rPr>
          <w:szCs w:val="24"/>
        </w:rPr>
        <w:t xml:space="preserve">, cofinancé à hauteur de 3.8 M€ par l’Union européenne, et à hauteur de 1.2 M€ par l’AIMF. </w:t>
      </w:r>
    </w:p>
    <w:p w14:paraId="5AF534FB" w14:textId="77777777" w:rsidR="008B0A88" w:rsidRPr="007174DD" w:rsidRDefault="008B0A88" w:rsidP="000A7E77">
      <w:pPr>
        <w:jc w:val="both"/>
        <w:rPr>
          <w:szCs w:val="24"/>
        </w:rPr>
      </w:pPr>
    </w:p>
    <w:p w14:paraId="0957C211" w14:textId="1161EEC5" w:rsidR="000A7E77" w:rsidRPr="007174DD" w:rsidRDefault="000A7E77" w:rsidP="008B0A88">
      <w:pPr>
        <w:rPr>
          <w:szCs w:val="24"/>
          <w:u w:val="single"/>
        </w:rPr>
      </w:pPr>
      <w:bookmarkStart w:id="5" w:name="_Toc434402112"/>
      <w:bookmarkStart w:id="6" w:name="_Toc479086651"/>
      <w:r w:rsidRPr="007174DD">
        <w:rPr>
          <w:szCs w:val="24"/>
          <w:u w:val="single"/>
        </w:rPr>
        <w:t xml:space="preserve">Objectifs de l’appui aux réseaux régionaux des Autorités locales </w:t>
      </w:r>
      <w:bookmarkEnd w:id="5"/>
      <w:bookmarkEnd w:id="6"/>
    </w:p>
    <w:p w14:paraId="06BCB23D" w14:textId="77777777" w:rsidR="000A7E77" w:rsidRPr="007174DD" w:rsidRDefault="000A7E77" w:rsidP="000A7E77">
      <w:pPr>
        <w:jc w:val="both"/>
        <w:rPr>
          <w:szCs w:val="24"/>
        </w:rPr>
      </w:pPr>
    </w:p>
    <w:p w14:paraId="100E7A25" w14:textId="258D2B41" w:rsidR="000A7E77" w:rsidRPr="007174DD" w:rsidRDefault="000A7E77" w:rsidP="000A7E77">
      <w:pPr>
        <w:pStyle w:val="Paragraphedeliste"/>
        <w:numPr>
          <w:ilvl w:val="0"/>
          <w:numId w:val="2"/>
        </w:numPr>
        <w:ind w:left="426"/>
        <w:jc w:val="both"/>
        <w:rPr>
          <w:szCs w:val="24"/>
        </w:rPr>
      </w:pPr>
      <w:r w:rsidRPr="007174DD">
        <w:rPr>
          <w:szCs w:val="24"/>
        </w:rPr>
        <w:t xml:space="preserve">Consolider et asseoir la reconnaissance du rôle et de la légitimité des AL et des </w:t>
      </w:r>
      <w:r w:rsidR="002B3892">
        <w:rPr>
          <w:szCs w:val="24"/>
        </w:rPr>
        <w:t xml:space="preserve">associations d’autorités locales, </w:t>
      </w:r>
      <w:r w:rsidRPr="007174DD">
        <w:rPr>
          <w:szCs w:val="24"/>
        </w:rPr>
        <w:t>dans les sphères de décisions politiques nationales, régionales et globales ;</w:t>
      </w:r>
    </w:p>
    <w:p w14:paraId="1670A8D2" w14:textId="77777777" w:rsidR="000A7E77" w:rsidRPr="007174DD" w:rsidRDefault="000A7E77" w:rsidP="000A7E77">
      <w:pPr>
        <w:pStyle w:val="Paragraphedeliste"/>
        <w:numPr>
          <w:ilvl w:val="0"/>
          <w:numId w:val="2"/>
        </w:numPr>
        <w:ind w:left="426"/>
        <w:jc w:val="both"/>
        <w:rPr>
          <w:szCs w:val="24"/>
        </w:rPr>
      </w:pPr>
      <w:r w:rsidRPr="007174DD">
        <w:rPr>
          <w:szCs w:val="24"/>
        </w:rPr>
        <w:t>Soutenir les Autorités locales et leurs Associations (nationales et régionales) des pays partenaires de l’Union européenne ;</w:t>
      </w:r>
    </w:p>
    <w:p w14:paraId="7B094FC9" w14:textId="77777777" w:rsidR="000A7E77" w:rsidRPr="007174DD" w:rsidRDefault="000A7E77" w:rsidP="000A7E77">
      <w:pPr>
        <w:pStyle w:val="CorpoA"/>
        <w:numPr>
          <w:ilvl w:val="0"/>
          <w:numId w:val="2"/>
        </w:numPr>
        <w:ind w:left="426"/>
        <w:jc w:val="both"/>
        <w:rPr>
          <w:rFonts w:hAnsi="Times New Roman" w:cs="Times New Roman"/>
        </w:rPr>
      </w:pPr>
      <w:r w:rsidRPr="007174DD">
        <w:rPr>
          <w:rFonts w:hAnsi="Times New Roman" w:cs="Times New Roman"/>
        </w:rPr>
        <w:t>Appuyer la création de processus durables de plaidoyer et de leur contenu par les Autorités locales et les Associations d’autorités locales de différents pays.</w:t>
      </w:r>
    </w:p>
    <w:p w14:paraId="40F0FC21" w14:textId="0F358210" w:rsidR="000A7E77" w:rsidRPr="007174DD" w:rsidRDefault="000A7E77" w:rsidP="000A7E77">
      <w:pPr>
        <w:pStyle w:val="CorpoA"/>
        <w:numPr>
          <w:ilvl w:val="0"/>
          <w:numId w:val="2"/>
        </w:numPr>
        <w:ind w:left="426"/>
        <w:jc w:val="both"/>
        <w:rPr>
          <w:rFonts w:hAnsi="Times New Roman" w:cs="Times New Roman"/>
        </w:rPr>
      </w:pPr>
      <w:r w:rsidRPr="007174DD">
        <w:rPr>
          <w:rFonts w:hAnsi="Times New Roman" w:cs="Times New Roman"/>
        </w:rPr>
        <w:t xml:space="preserve">Soutenir le développement de programme-projet concret régionaux </w:t>
      </w:r>
    </w:p>
    <w:p w14:paraId="2F46C782" w14:textId="77777777" w:rsidR="000A7E77" w:rsidRPr="007174DD" w:rsidRDefault="000A7E77" w:rsidP="000A7E77">
      <w:pPr>
        <w:pStyle w:val="CorpoA"/>
        <w:jc w:val="both"/>
        <w:rPr>
          <w:rFonts w:hAnsi="Times New Roman" w:cs="Times New Roman"/>
        </w:rPr>
      </w:pPr>
    </w:p>
    <w:p w14:paraId="129E642C" w14:textId="5F8A5CBE" w:rsidR="00886904" w:rsidRPr="007174DD" w:rsidRDefault="00886904" w:rsidP="008B0A88">
      <w:pPr>
        <w:pStyle w:val="Titre2"/>
        <w:numPr>
          <w:ilvl w:val="0"/>
          <w:numId w:val="28"/>
        </w:numPr>
        <w:rPr>
          <w:rFonts w:ascii="Times New Roman" w:hAnsi="Times New Roman" w:cs="Times New Roman"/>
          <w:sz w:val="24"/>
          <w:szCs w:val="24"/>
        </w:rPr>
      </w:pPr>
      <w:bookmarkStart w:id="7" w:name="_Toc167895119"/>
      <w:bookmarkStart w:id="8" w:name="_Toc29820751"/>
      <w:bookmarkStart w:id="9" w:name="_Toc88285351"/>
      <w:r w:rsidRPr="007174DD">
        <w:rPr>
          <w:rFonts w:ascii="Times New Roman" w:hAnsi="Times New Roman" w:cs="Times New Roman"/>
          <w:sz w:val="24"/>
          <w:szCs w:val="24"/>
        </w:rPr>
        <w:t>Présentation du programme SGA3</w:t>
      </w:r>
      <w:bookmarkEnd w:id="7"/>
      <w:r w:rsidRPr="007174DD">
        <w:rPr>
          <w:rFonts w:ascii="Times New Roman" w:hAnsi="Times New Roman" w:cs="Times New Roman"/>
          <w:sz w:val="24"/>
          <w:szCs w:val="24"/>
        </w:rPr>
        <w:t xml:space="preserve"> </w:t>
      </w:r>
    </w:p>
    <w:p w14:paraId="5C9AAF86" w14:textId="77777777" w:rsidR="008B0A88" w:rsidRPr="007174DD" w:rsidRDefault="008B0A88" w:rsidP="008B0A88">
      <w:pPr>
        <w:rPr>
          <w:szCs w:val="24"/>
        </w:rPr>
      </w:pPr>
    </w:p>
    <w:p w14:paraId="468FD59D" w14:textId="208655EA" w:rsidR="000A7E77" w:rsidRPr="007174DD" w:rsidRDefault="008B0A88" w:rsidP="008B0A88">
      <w:pPr>
        <w:pStyle w:val="Paragraphedeliste"/>
        <w:numPr>
          <w:ilvl w:val="0"/>
          <w:numId w:val="29"/>
        </w:numPr>
        <w:rPr>
          <w:szCs w:val="24"/>
          <w:u w:val="single"/>
        </w:rPr>
      </w:pPr>
      <w:r w:rsidRPr="007174DD">
        <w:rPr>
          <w:szCs w:val="24"/>
          <w:u w:val="single"/>
        </w:rPr>
        <w:t>Objectifs Et Résultats Escomptés</w:t>
      </w:r>
      <w:bookmarkEnd w:id="8"/>
      <w:bookmarkEnd w:id="9"/>
    </w:p>
    <w:p w14:paraId="53CC7495" w14:textId="77777777" w:rsidR="008B0A88" w:rsidRPr="007174DD" w:rsidRDefault="008B0A88" w:rsidP="008B0A88">
      <w:pPr>
        <w:rPr>
          <w:szCs w:val="24"/>
          <w:u w:val="single"/>
        </w:rPr>
      </w:pPr>
    </w:p>
    <w:p w14:paraId="1702CB9E" w14:textId="72BF0829" w:rsidR="000A7E77" w:rsidRPr="007174DD" w:rsidRDefault="008B0A88" w:rsidP="008B0A88">
      <w:pPr>
        <w:rPr>
          <w:szCs w:val="24"/>
        </w:rPr>
      </w:pPr>
      <w:bookmarkStart w:id="10" w:name="_Toc29820752"/>
      <w:bookmarkStart w:id="11" w:name="_Toc88285352"/>
      <w:r w:rsidRPr="007174DD">
        <w:rPr>
          <w:szCs w:val="24"/>
        </w:rPr>
        <w:t>Objectif Général</w:t>
      </w:r>
      <w:bookmarkEnd w:id="10"/>
      <w:bookmarkEnd w:id="11"/>
    </w:p>
    <w:p w14:paraId="0DD4F471" w14:textId="77777777" w:rsidR="00EE3249" w:rsidRDefault="00156BFD" w:rsidP="00EE3249">
      <w:pPr>
        <w:autoSpaceDE w:val="0"/>
        <w:autoSpaceDN w:val="0"/>
        <w:adjustRightInd w:val="0"/>
        <w:spacing w:before="40" w:after="40"/>
        <w:rPr>
          <w:iCs/>
          <w:color w:val="000000" w:themeColor="text1"/>
          <w:szCs w:val="24"/>
        </w:rPr>
      </w:pPr>
      <w:r w:rsidRPr="007174DD">
        <w:rPr>
          <w:iCs/>
          <w:color w:val="000000" w:themeColor="text1"/>
          <w:szCs w:val="24"/>
        </w:rPr>
        <w:t>Améliorer les conditions de vie des populations locales dans les villes et territoires francophones</w:t>
      </w:r>
    </w:p>
    <w:p w14:paraId="54AD5471" w14:textId="77777777" w:rsidR="00EE3249" w:rsidRDefault="00EE3249" w:rsidP="00EE3249">
      <w:pPr>
        <w:autoSpaceDE w:val="0"/>
        <w:autoSpaceDN w:val="0"/>
        <w:adjustRightInd w:val="0"/>
        <w:spacing w:before="40" w:after="40"/>
        <w:rPr>
          <w:iCs/>
          <w:color w:val="000000" w:themeColor="text1"/>
          <w:szCs w:val="24"/>
        </w:rPr>
      </w:pPr>
    </w:p>
    <w:p w14:paraId="3C7B2071" w14:textId="77777777" w:rsidR="00EE3249" w:rsidRDefault="00156BFD" w:rsidP="00EE3249">
      <w:pPr>
        <w:autoSpaceDE w:val="0"/>
        <w:autoSpaceDN w:val="0"/>
        <w:adjustRightInd w:val="0"/>
        <w:spacing w:before="40" w:after="40"/>
        <w:rPr>
          <w:b/>
          <w:bCs/>
          <w:color w:val="000000"/>
          <w:szCs w:val="24"/>
          <w:u w:val="single"/>
        </w:rPr>
      </w:pPr>
      <w:r w:rsidRPr="007174DD">
        <w:rPr>
          <w:b/>
          <w:bCs/>
          <w:color w:val="000000"/>
          <w:szCs w:val="24"/>
          <w:u w:val="single"/>
        </w:rPr>
        <w:t xml:space="preserve">Effet  escompté </w:t>
      </w:r>
      <w:r w:rsidRPr="007174DD">
        <w:rPr>
          <w:b/>
          <w:bCs/>
          <w:i/>
          <w:iCs/>
          <w:color w:val="000000"/>
          <w:szCs w:val="24"/>
          <w:u w:val="single"/>
        </w:rPr>
        <w:t>(objectif spécifique)</w:t>
      </w:r>
      <w:r w:rsidRPr="007174DD">
        <w:rPr>
          <w:b/>
          <w:bCs/>
          <w:color w:val="000000"/>
          <w:szCs w:val="24"/>
          <w:u w:val="single"/>
        </w:rPr>
        <w:t xml:space="preserve">: </w:t>
      </w:r>
    </w:p>
    <w:p w14:paraId="0D9A66C9" w14:textId="77777777" w:rsidR="00EE3249" w:rsidRDefault="00EE3249" w:rsidP="00EE3249">
      <w:pPr>
        <w:autoSpaceDE w:val="0"/>
        <w:autoSpaceDN w:val="0"/>
        <w:adjustRightInd w:val="0"/>
        <w:spacing w:before="40" w:after="40"/>
        <w:rPr>
          <w:b/>
          <w:bCs/>
          <w:color w:val="000000"/>
          <w:szCs w:val="24"/>
          <w:u w:val="single"/>
        </w:rPr>
      </w:pPr>
    </w:p>
    <w:p w14:paraId="4D497B3D" w14:textId="77777777" w:rsidR="00EE3249" w:rsidRDefault="00156BFD" w:rsidP="00EE3249">
      <w:pPr>
        <w:autoSpaceDE w:val="0"/>
        <w:autoSpaceDN w:val="0"/>
        <w:adjustRightInd w:val="0"/>
        <w:spacing w:before="40" w:after="40"/>
        <w:rPr>
          <w:b/>
          <w:bCs/>
          <w:color w:val="000000"/>
          <w:szCs w:val="24"/>
          <w:u w:val="single"/>
        </w:rPr>
      </w:pPr>
      <w:r w:rsidRPr="007174DD">
        <w:rPr>
          <w:color w:val="000000" w:themeColor="text1"/>
          <w:szCs w:val="24"/>
        </w:rPr>
        <w:t>Le rôle des AL et de leurs Associations membres de l’AIMF dans la mise en œuvre du développement local durable et de la bonne gouvernance est renforcé</w:t>
      </w:r>
      <w:r w:rsidRPr="007174DD">
        <w:rPr>
          <w:b/>
          <w:bCs/>
          <w:color w:val="000000"/>
          <w:szCs w:val="24"/>
          <w:u w:val="single"/>
        </w:rPr>
        <w:t xml:space="preserve"> </w:t>
      </w:r>
    </w:p>
    <w:p w14:paraId="6B6F3173" w14:textId="77777777" w:rsidR="00EE3249" w:rsidRDefault="00EE3249" w:rsidP="00EE3249">
      <w:pPr>
        <w:autoSpaceDE w:val="0"/>
        <w:autoSpaceDN w:val="0"/>
        <w:adjustRightInd w:val="0"/>
        <w:spacing w:before="40" w:after="40"/>
        <w:rPr>
          <w:b/>
          <w:bCs/>
          <w:color w:val="000000"/>
          <w:szCs w:val="24"/>
          <w:u w:val="single"/>
        </w:rPr>
      </w:pPr>
    </w:p>
    <w:p w14:paraId="005998A8" w14:textId="77777777" w:rsidR="00EE3249" w:rsidRDefault="00156BFD" w:rsidP="00EE3249">
      <w:pPr>
        <w:autoSpaceDE w:val="0"/>
        <w:autoSpaceDN w:val="0"/>
        <w:adjustRightInd w:val="0"/>
        <w:spacing w:before="40" w:after="40"/>
        <w:rPr>
          <w:b/>
          <w:bCs/>
          <w:color w:val="000000"/>
          <w:szCs w:val="24"/>
          <w:u w:val="single"/>
        </w:rPr>
      </w:pPr>
      <w:r w:rsidRPr="007174DD">
        <w:rPr>
          <w:b/>
          <w:bCs/>
          <w:color w:val="000000"/>
          <w:szCs w:val="24"/>
          <w:u w:val="single"/>
        </w:rPr>
        <w:t>Indicateurs :</w:t>
      </w:r>
    </w:p>
    <w:p w14:paraId="6A290B1B" w14:textId="77777777" w:rsidR="00EE3249" w:rsidRDefault="00EE3249" w:rsidP="00EE3249">
      <w:pPr>
        <w:autoSpaceDE w:val="0"/>
        <w:autoSpaceDN w:val="0"/>
        <w:adjustRightInd w:val="0"/>
        <w:spacing w:before="40" w:after="40"/>
        <w:rPr>
          <w:b/>
          <w:bCs/>
          <w:color w:val="000000"/>
          <w:szCs w:val="24"/>
          <w:u w:val="single"/>
        </w:rPr>
      </w:pPr>
    </w:p>
    <w:p w14:paraId="1B17F46F" w14:textId="3A7BA46B" w:rsidR="00EE3249" w:rsidRPr="00EE3249" w:rsidRDefault="00156BFD" w:rsidP="00EE3249">
      <w:pPr>
        <w:pStyle w:val="Paragraphedeliste"/>
        <w:numPr>
          <w:ilvl w:val="0"/>
          <w:numId w:val="33"/>
        </w:numPr>
        <w:autoSpaceDE w:val="0"/>
        <w:autoSpaceDN w:val="0"/>
        <w:adjustRightInd w:val="0"/>
        <w:spacing w:before="40" w:after="40"/>
        <w:rPr>
          <w:color w:val="000000"/>
          <w:szCs w:val="24"/>
        </w:rPr>
      </w:pPr>
      <w:r w:rsidRPr="00EE3249">
        <w:rPr>
          <w:color w:val="000000"/>
          <w:szCs w:val="24"/>
        </w:rPr>
        <w:t>Nombre de plans stratégiques formellement adoptés par des CL et leurs associations dans les réseaux sous-régionaux en appui du développement local durable et de la bonne gouvernance (ventilés par pays)</w:t>
      </w:r>
      <w:r w:rsidR="00EE3249" w:rsidRPr="00EE3249">
        <w:rPr>
          <w:color w:val="000000"/>
          <w:szCs w:val="24"/>
        </w:rPr>
        <w:t>.</w:t>
      </w:r>
    </w:p>
    <w:p w14:paraId="59AC1A59" w14:textId="77777777" w:rsidR="00EE3249" w:rsidRPr="00EE3249" w:rsidRDefault="00156BFD" w:rsidP="00EE3249">
      <w:pPr>
        <w:pStyle w:val="Paragraphedeliste"/>
        <w:numPr>
          <w:ilvl w:val="0"/>
          <w:numId w:val="33"/>
        </w:numPr>
        <w:autoSpaceDE w:val="0"/>
        <w:autoSpaceDN w:val="0"/>
        <w:adjustRightInd w:val="0"/>
        <w:spacing w:before="40" w:after="40"/>
        <w:rPr>
          <w:color w:val="000000"/>
          <w:szCs w:val="24"/>
          <w:lang w:bidi="km-KH"/>
        </w:rPr>
      </w:pPr>
      <w:r w:rsidRPr="00EE3249">
        <w:rPr>
          <w:color w:val="000000"/>
          <w:szCs w:val="24"/>
          <w:lang w:bidi="km-KH"/>
        </w:rPr>
        <w:t>Nombre de démarches de dialogue et plaidoyer engagées par les CL et par leurs associations avec les administrations centrales (ventilé par type de démarche- réunion, document de plaidoyer, etc.- et pays)</w:t>
      </w:r>
    </w:p>
    <w:p w14:paraId="2E7F2C8B" w14:textId="77777777" w:rsidR="00EE3249" w:rsidRPr="00EE3249" w:rsidRDefault="00156BFD" w:rsidP="00EE3249">
      <w:pPr>
        <w:pStyle w:val="Paragraphedeliste"/>
        <w:numPr>
          <w:ilvl w:val="0"/>
          <w:numId w:val="33"/>
        </w:numPr>
        <w:autoSpaceDE w:val="0"/>
        <w:autoSpaceDN w:val="0"/>
        <w:adjustRightInd w:val="0"/>
        <w:spacing w:before="40" w:after="40"/>
        <w:rPr>
          <w:color w:val="000000"/>
          <w:szCs w:val="24"/>
          <w:lang w:bidi="km-KH"/>
        </w:rPr>
      </w:pPr>
      <w:r w:rsidRPr="00EE3249">
        <w:rPr>
          <w:color w:val="000000"/>
          <w:szCs w:val="24"/>
          <w:lang w:bidi="km-KH"/>
        </w:rPr>
        <w:t>Nombre des requêtes reçues par l’AIMF de la part des villes et associations membres pour mettre en œuvre des actions de développement local durable et de la bonne gouvernance (par pays)</w:t>
      </w:r>
    </w:p>
    <w:p w14:paraId="2ECD3EEF" w14:textId="77777777" w:rsidR="00EE3249" w:rsidRDefault="00EE3249" w:rsidP="00EE3249">
      <w:pPr>
        <w:autoSpaceDE w:val="0"/>
        <w:autoSpaceDN w:val="0"/>
        <w:adjustRightInd w:val="0"/>
        <w:spacing w:before="40" w:after="40"/>
        <w:rPr>
          <w:color w:val="000000"/>
          <w:szCs w:val="24"/>
          <w:lang w:bidi="km-KH"/>
        </w:rPr>
      </w:pPr>
    </w:p>
    <w:p w14:paraId="05B8464E" w14:textId="5FDCA5B0" w:rsidR="00156BFD" w:rsidRPr="00EE3249" w:rsidRDefault="00156BFD" w:rsidP="00EE3249">
      <w:pPr>
        <w:pStyle w:val="Paragraphedeliste"/>
        <w:numPr>
          <w:ilvl w:val="0"/>
          <w:numId w:val="33"/>
        </w:numPr>
        <w:autoSpaceDE w:val="0"/>
        <w:autoSpaceDN w:val="0"/>
        <w:adjustRightInd w:val="0"/>
        <w:spacing w:before="40" w:after="40"/>
        <w:rPr>
          <w:iCs/>
          <w:color w:val="000000" w:themeColor="text1"/>
          <w:szCs w:val="24"/>
        </w:rPr>
      </w:pPr>
      <w:r w:rsidRPr="00EE3249">
        <w:rPr>
          <w:color w:val="000000"/>
          <w:szCs w:val="24"/>
          <w:lang w:bidi="km-KH"/>
        </w:rPr>
        <w:t>Nombre de projets initiés dans le cadre de leur coopération par les CL ou leurs associations ciblées en appui au développement local durable et à la bonne gouvernance (par pays)</w:t>
      </w:r>
    </w:p>
    <w:p w14:paraId="342D6578" w14:textId="77777777" w:rsidR="00156BFD" w:rsidRPr="007174DD" w:rsidRDefault="00156BFD" w:rsidP="00156BFD">
      <w:pPr>
        <w:pStyle w:val="Corpsdetexte2"/>
        <w:keepNext/>
        <w:keepLines/>
        <w:numPr>
          <w:ilvl w:val="0"/>
          <w:numId w:val="18"/>
        </w:numPr>
        <w:pBdr>
          <w:top w:val="none" w:sz="0" w:space="0" w:color="auto"/>
          <w:left w:val="none" w:sz="0" w:space="0" w:color="auto"/>
          <w:bottom w:val="none" w:sz="0" w:space="0" w:color="auto"/>
          <w:right w:val="none" w:sz="0" w:space="0" w:color="auto"/>
        </w:pBdr>
        <w:spacing w:before="120" w:after="120"/>
        <w:jc w:val="both"/>
        <w:rPr>
          <w:rStyle w:val="Appelnotedebasdep"/>
          <w:color w:val="000000"/>
          <w:szCs w:val="24"/>
          <w:vertAlign w:val="baseline"/>
          <w:lang w:bidi="km-KH"/>
        </w:rPr>
      </w:pPr>
      <w:r w:rsidRPr="007174DD">
        <w:rPr>
          <w:color w:val="000000"/>
          <w:szCs w:val="24"/>
        </w:rPr>
        <w:t>1.5. Montant total en (EUR) des cofinancements mobilisés par les villes et l’AIMF pour mettre en œuvre des projets locaux de développement durable suivant les principes de bonne gouvernance dans le cadre du mécanisme de subvention de l’intervention (ventilé par région)</w:t>
      </w:r>
      <w:r w:rsidRPr="007174DD">
        <w:rPr>
          <w:rStyle w:val="Appelnotedebasdep"/>
          <w:color w:val="000000"/>
          <w:szCs w:val="24"/>
        </w:rPr>
        <w:t xml:space="preserve"> </w:t>
      </w:r>
    </w:p>
    <w:p w14:paraId="40BD824D" w14:textId="77777777" w:rsidR="00156BFD" w:rsidRPr="007174DD" w:rsidRDefault="00156BFD" w:rsidP="00156BFD">
      <w:pPr>
        <w:pStyle w:val="Corpsdetexte2"/>
        <w:keepNext/>
        <w:keepLines/>
        <w:numPr>
          <w:ilvl w:val="0"/>
          <w:numId w:val="18"/>
        </w:numPr>
        <w:pBdr>
          <w:top w:val="none" w:sz="0" w:space="0" w:color="auto"/>
          <w:left w:val="none" w:sz="0" w:space="0" w:color="auto"/>
          <w:bottom w:val="none" w:sz="0" w:space="0" w:color="auto"/>
          <w:right w:val="none" w:sz="0" w:space="0" w:color="auto"/>
        </w:pBdr>
        <w:spacing w:before="120" w:after="120"/>
        <w:jc w:val="both"/>
        <w:rPr>
          <w:color w:val="000000"/>
          <w:szCs w:val="24"/>
          <w:lang w:bidi="km-KH"/>
        </w:rPr>
      </w:pPr>
      <w:r w:rsidRPr="007174DD">
        <w:rPr>
          <w:color w:val="000000"/>
          <w:szCs w:val="24"/>
        </w:rPr>
        <w:t>Nombre d'infrastructures rénovées ou construites dans le cadre des projets mis en œuvre par les CL (ventilé par région et par type de service</w:t>
      </w:r>
    </w:p>
    <w:p w14:paraId="30AFEC93" w14:textId="2FE008C7" w:rsidR="00156BFD" w:rsidRPr="007174DD" w:rsidRDefault="00156BFD" w:rsidP="00156BFD">
      <w:pPr>
        <w:pStyle w:val="Corpsdetexte2"/>
        <w:keepNext/>
        <w:keepLines/>
        <w:numPr>
          <w:ilvl w:val="0"/>
          <w:numId w:val="18"/>
        </w:numPr>
        <w:pBdr>
          <w:top w:val="none" w:sz="0" w:space="0" w:color="auto"/>
          <w:left w:val="none" w:sz="0" w:space="0" w:color="auto"/>
          <w:bottom w:val="none" w:sz="0" w:space="0" w:color="auto"/>
          <w:right w:val="none" w:sz="0" w:space="0" w:color="auto"/>
        </w:pBdr>
        <w:spacing w:before="120" w:after="120"/>
        <w:jc w:val="both"/>
        <w:rPr>
          <w:color w:val="000000"/>
          <w:szCs w:val="24"/>
          <w:lang w:bidi="km-KH"/>
        </w:rPr>
      </w:pPr>
      <w:r w:rsidRPr="007174DD">
        <w:rPr>
          <w:color w:val="000000"/>
          <w:szCs w:val="24"/>
        </w:rPr>
        <w:t>Nombre de villes ayant mis en place un Comité de pilotage pour la mise en œuvre de projets pilotes (ventilé par région</w:t>
      </w:r>
    </w:p>
    <w:p w14:paraId="7780411F" w14:textId="77777777" w:rsidR="00156BFD" w:rsidRPr="007174DD" w:rsidRDefault="00156BFD" w:rsidP="00156BFD">
      <w:pPr>
        <w:rPr>
          <w:szCs w:val="24"/>
        </w:rPr>
      </w:pPr>
    </w:p>
    <w:p w14:paraId="19B9DD5F" w14:textId="4FED947E" w:rsidR="00156BFD" w:rsidRPr="007174DD" w:rsidRDefault="00156BFD" w:rsidP="008B0A88">
      <w:pPr>
        <w:pStyle w:val="Paragraphedeliste"/>
        <w:numPr>
          <w:ilvl w:val="0"/>
          <w:numId w:val="29"/>
        </w:numPr>
        <w:rPr>
          <w:szCs w:val="24"/>
          <w:u w:val="single"/>
        </w:rPr>
      </w:pPr>
      <w:bookmarkStart w:id="12" w:name="_Toc162001311"/>
      <w:r w:rsidRPr="007174DD">
        <w:rPr>
          <w:szCs w:val="24"/>
          <w:u w:val="single"/>
        </w:rPr>
        <w:lastRenderedPageBreak/>
        <w:t>RÉSULTATS</w:t>
      </w:r>
      <w:bookmarkEnd w:id="12"/>
      <w:r w:rsidRPr="007174DD">
        <w:rPr>
          <w:szCs w:val="24"/>
          <w:u w:val="single"/>
        </w:rPr>
        <w:t xml:space="preserve"> (Produits) </w:t>
      </w:r>
    </w:p>
    <w:p w14:paraId="4AE869C7" w14:textId="77777777" w:rsidR="00156BFD" w:rsidRPr="007174DD" w:rsidRDefault="00156BFD" w:rsidP="00156BFD">
      <w:pPr>
        <w:ind w:left="380"/>
        <w:rPr>
          <w:b/>
          <w:szCs w:val="24"/>
          <w:u w:val="single"/>
        </w:rPr>
      </w:pPr>
    </w:p>
    <w:p w14:paraId="512ED6D3" w14:textId="77777777" w:rsidR="00156BFD" w:rsidRPr="007174DD" w:rsidRDefault="00156BFD" w:rsidP="00156BFD">
      <w:pPr>
        <w:ind w:left="380"/>
        <w:rPr>
          <w:b/>
          <w:bCs/>
          <w:color w:val="000000"/>
          <w:szCs w:val="24"/>
          <w:u w:val="single"/>
        </w:rPr>
      </w:pPr>
      <w:r w:rsidRPr="007174DD">
        <w:rPr>
          <w:b/>
          <w:bCs/>
          <w:color w:val="000000"/>
          <w:szCs w:val="24"/>
          <w:u w:val="single"/>
        </w:rPr>
        <w:t>Produit. 1 Les opportunités pour le dialogue national et sous-régional entre collectivités locales (CL) dans 6 sous-régions de l’espace francophone sont améliorées</w:t>
      </w:r>
    </w:p>
    <w:p w14:paraId="0CF44D33" w14:textId="77777777" w:rsidR="00156BFD" w:rsidRPr="007174DD" w:rsidRDefault="00156BFD" w:rsidP="00156BFD">
      <w:pPr>
        <w:ind w:left="380"/>
        <w:rPr>
          <w:b/>
          <w:bCs/>
          <w:color w:val="000000"/>
          <w:szCs w:val="24"/>
          <w:u w:val="single"/>
        </w:rPr>
      </w:pPr>
    </w:p>
    <w:p w14:paraId="13424A43" w14:textId="77777777" w:rsidR="00156BFD" w:rsidRPr="007174DD" w:rsidRDefault="00156BFD" w:rsidP="00156BFD">
      <w:pPr>
        <w:ind w:left="380"/>
        <w:rPr>
          <w:b/>
          <w:szCs w:val="24"/>
          <w:u w:val="single"/>
        </w:rPr>
      </w:pPr>
      <w:r w:rsidRPr="007174DD">
        <w:rPr>
          <w:b/>
          <w:szCs w:val="24"/>
          <w:u w:val="single"/>
        </w:rPr>
        <w:t>Indicateurs du produit :</w:t>
      </w:r>
    </w:p>
    <w:p w14:paraId="7127B0AC" w14:textId="77777777" w:rsidR="00156BFD" w:rsidRPr="007174DD" w:rsidRDefault="00156BFD" w:rsidP="00156BFD">
      <w:pPr>
        <w:rPr>
          <w:b/>
          <w:szCs w:val="24"/>
          <w:u w:val="single"/>
        </w:rPr>
      </w:pPr>
    </w:p>
    <w:p w14:paraId="6976A279" w14:textId="6EED5035" w:rsidR="0048534D" w:rsidRPr="008B0F75" w:rsidRDefault="00156BFD" w:rsidP="00156BFD">
      <w:pPr>
        <w:pStyle w:val="Paragraphedeliste"/>
        <w:numPr>
          <w:ilvl w:val="0"/>
          <w:numId w:val="19"/>
        </w:numPr>
        <w:rPr>
          <w:color w:val="000000"/>
          <w:szCs w:val="24"/>
        </w:rPr>
      </w:pPr>
      <w:r w:rsidRPr="007174DD">
        <w:rPr>
          <w:color w:val="000000"/>
          <w:szCs w:val="24"/>
        </w:rPr>
        <w:t>P1.1. Nombre des plans stratégiques élaborés par les CL ou leurs associations, avec le soutien de l’intervention (ventilé par région)</w:t>
      </w:r>
    </w:p>
    <w:p w14:paraId="24B8F831" w14:textId="77777777" w:rsidR="008B389D" w:rsidRPr="007174DD" w:rsidRDefault="008B389D" w:rsidP="008B389D">
      <w:pPr>
        <w:pStyle w:val="Corpsdetexte2"/>
        <w:keepNext/>
        <w:keepLines/>
        <w:numPr>
          <w:ilvl w:val="0"/>
          <w:numId w:val="19"/>
        </w:numPr>
        <w:pBdr>
          <w:top w:val="none" w:sz="0" w:space="0" w:color="auto"/>
          <w:left w:val="none" w:sz="0" w:space="0" w:color="auto"/>
          <w:bottom w:val="none" w:sz="0" w:space="0" w:color="auto"/>
          <w:right w:val="none" w:sz="0" w:space="0" w:color="auto"/>
        </w:pBdr>
        <w:spacing w:before="120" w:after="120"/>
        <w:jc w:val="both"/>
        <w:rPr>
          <w:color w:val="000000"/>
          <w:szCs w:val="24"/>
        </w:rPr>
      </w:pPr>
      <w:r w:rsidRPr="007174DD">
        <w:rPr>
          <w:color w:val="000000"/>
          <w:szCs w:val="24"/>
        </w:rPr>
        <w:t>P1.2 Nombre des participants aux rencontres annuelles régionales, avec le soutien de l’intervention (ventilé par type d'acteur et par sexe)</w:t>
      </w:r>
    </w:p>
    <w:p w14:paraId="67163AE0" w14:textId="77777777" w:rsidR="008B389D" w:rsidRPr="007174DD" w:rsidRDefault="008B389D" w:rsidP="008B389D">
      <w:pPr>
        <w:pStyle w:val="Corpsdetexte2"/>
        <w:keepNext/>
        <w:keepLines/>
        <w:numPr>
          <w:ilvl w:val="0"/>
          <w:numId w:val="19"/>
        </w:numPr>
        <w:pBdr>
          <w:top w:val="none" w:sz="0" w:space="0" w:color="auto"/>
          <w:left w:val="none" w:sz="0" w:space="0" w:color="auto"/>
          <w:bottom w:val="none" w:sz="0" w:space="0" w:color="auto"/>
          <w:right w:val="none" w:sz="0" w:space="0" w:color="auto"/>
        </w:pBdr>
        <w:spacing w:before="120" w:after="120" w:line="360" w:lineRule="auto"/>
        <w:jc w:val="both"/>
        <w:rPr>
          <w:color w:val="000000"/>
          <w:szCs w:val="24"/>
        </w:rPr>
      </w:pPr>
      <w:r w:rsidRPr="007174DD">
        <w:rPr>
          <w:color w:val="000000"/>
          <w:szCs w:val="24"/>
        </w:rPr>
        <w:t>P1.3 Nombre des participants des réunions annuelles multi-pays, avec le soutien de l’intervention (ventilé par type d'acteur et sexe)</w:t>
      </w:r>
    </w:p>
    <w:p w14:paraId="5ADDA3BA" w14:textId="77777777" w:rsidR="008B389D" w:rsidRPr="007174DD" w:rsidRDefault="008B389D" w:rsidP="008B389D">
      <w:pPr>
        <w:pStyle w:val="Corpsdetexte2"/>
        <w:keepNext/>
        <w:keepLines/>
        <w:numPr>
          <w:ilvl w:val="0"/>
          <w:numId w:val="19"/>
        </w:numPr>
        <w:pBdr>
          <w:top w:val="none" w:sz="0" w:space="0" w:color="auto"/>
          <w:left w:val="none" w:sz="0" w:space="0" w:color="auto"/>
          <w:bottom w:val="none" w:sz="0" w:space="0" w:color="auto"/>
          <w:right w:val="none" w:sz="0" w:space="0" w:color="auto"/>
        </w:pBdr>
        <w:spacing w:before="120" w:after="120"/>
        <w:jc w:val="both"/>
        <w:rPr>
          <w:color w:val="000000"/>
          <w:szCs w:val="24"/>
        </w:rPr>
      </w:pPr>
      <w:r w:rsidRPr="007174DD">
        <w:rPr>
          <w:color w:val="000000"/>
          <w:szCs w:val="24"/>
        </w:rPr>
        <w:t>1.1.4 Nombre des participants aux séminaires de dialogue national, avec le soutien de l’intervention (ventilé par type d'acteur et sexe)</w:t>
      </w:r>
    </w:p>
    <w:p w14:paraId="288AE209" w14:textId="77777777" w:rsidR="00156BFD" w:rsidRPr="007174DD" w:rsidRDefault="00156BFD" w:rsidP="008B389D">
      <w:pPr>
        <w:pStyle w:val="Corpsdetexte2"/>
        <w:keepNext/>
        <w:keepLines/>
        <w:pBdr>
          <w:top w:val="none" w:sz="0" w:space="0" w:color="auto"/>
          <w:left w:val="none" w:sz="0" w:space="0" w:color="auto"/>
          <w:bottom w:val="none" w:sz="0" w:space="0" w:color="auto"/>
          <w:right w:val="none" w:sz="0" w:space="0" w:color="auto"/>
        </w:pBdr>
        <w:spacing w:before="120" w:after="120"/>
        <w:jc w:val="both"/>
        <w:rPr>
          <w:color w:val="000000"/>
          <w:szCs w:val="24"/>
        </w:rPr>
      </w:pPr>
    </w:p>
    <w:p w14:paraId="2D7F8615" w14:textId="77777777" w:rsidR="00156BFD" w:rsidRPr="007174DD" w:rsidRDefault="00156BFD" w:rsidP="00156BFD">
      <w:pPr>
        <w:pStyle w:val="Corpsdetexte2"/>
        <w:keepNext/>
        <w:keepLines/>
        <w:pBdr>
          <w:top w:val="none" w:sz="0" w:space="0" w:color="auto"/>
          <w:left w:val="none" w:sz="0" w:space="0" w:color="auto"/>
          <w:bottom w:val="none" w:sz="0" w:space="0" w:color="auto"/>
          <w:right w:val="none" w:sz="0" w:space="0" w:color="auto"/>
        </w:pBdr>
        <w:spacing w:before="120" w:after="120"/>
        <w:jc w:val="both"/>
        <w:rPr>
          <w:b/>
          <w:bCs/>
          <w:i w:val="0"/>
          <w:iCs w:val="0"/>
          <w:color w:val="000000"/>
          <w:szCs w:val="24"/>
          <w:u w:val="single"/>
        </w:rPr>
      </w:pPr>
      <w:r w:rsidRPr="007174DD">
        <w:rPr>
          <w:b/>
          <w:bCs/>
          <w:i w:val="0"/>
          <w:iCs w:val="0"/>
          <w:color w:val="000000"/>
          <w:szCs w:val="24"/>
          <w:u w:val="single"/>
        </w:rPr>
        <w:t>Produit 2 : Les capacités techniques, de gestion et de planification des CL sont renforcés</w:t>
      </w:r>
    </w:p>
    <w:p w14:paraId="25670DD7" w14:textId="77777777" w:rsidR="00156BFD" w:rsidRPr="007174DD" w:rsidRDefault="00156BFD" w:rsidP="00156BFD">
      <w:pPr>
        <w:pStyle w:val="Corpsdetexte2"/>
        <w:keepNext/>
        <w:keepLines/>
        <w:pBdr>
          <w:top w:val="none" w:sz="0" w:space="0" w:color="auto"/>
          <w:left w:val="none" w:sz="0" w:space="0" w:color="auto"/>
          <w:bottom w:val="none" w:sz="0" w:space="0" w:color="auto"/>
          <w:right w:val="none" w:sz="0" w:space="0" w:color="auto"/>
        </w:pBdr>
        <w:spacing w:before="120" w:after="120"/>
        <w:jc w:val="both"/>
        <w:rPr>
          <w:b/>
          <w:bCs/>
          <w:color w:val="000000"/>
          <w:szCs w:val="24"/>
          <w:u w:val="single"/>
        </w:rPr>
      </w:pPr>
      <w:r w:rsidRPr="007174DD">
        <w:rPr>
          <w:b/>
          <w:bCs/>
          <w:color w:val="000000"/>
          <w:szCs w:val="24"/>
          <w:u w:val="single"/>
        </w:rPr>
        <w:t xml:space="preserve">Indicateurs du produit : </w:t>
      </w:r>
    </w:p>
    <w:p w14:paraId="7D8AC58C" w14:textId="77777777" w:rsidR="00156BFD" w:rsidRPr="007174DD" w:rsidRDefault="00156BFD" w:rsidP="00156BFD">
      <w:pPr>
        <w:pStyle w:val="Corpsdetexte2"/>
        <w:keepNext/>
        <w:keepLines/>
        <w:numPr>
          <w:ilvl w:val="0"/>
          <w:numId w:val="20"/>
        </w:numPr>
        <w:pBdr>
          <w:top w:val="none" w:sz="0" w:space="0" w:color="auto"/>
          <w:left w:val="none" w:sz="0" w:space="0" w:color="auto"/>
          <w:bottom w:val="none" w:sz="0" w:space="0" w:color="auto"/>
          <w:right w:val="none" w:sz="0" w:space="0" w:color="auto"/>
        </w:pBdr>
        <w:spacing w:before="120" w:after="120"/>
        <w:jc w:val="both"/>
        <w:rPr>
          <w:color w:val="000000"/>
          <w:szCs w:val="24"/>
        </w:rPr>
      </w:pPr>
      <w:r w:rsidRPr="007174DD">
        <w:rPr>
          <w:color w:val="000000"/>
          <w:szCs w:val="24"/>
        </w:rPr>
        <w:t>P2.1.Nombre d’agents des CL et leurs associations qui ont participé aux échanges de pair à pair dans le cadre de l’intervention (ventilé par sexe et région).</w:t>
      </w:r>
    </w:p>
    <w:p w14:paraId="25A56529" w14:textId="730E3C2C" w:rsidR="00156BFD" w:rsidRPr="007174DD" w:rsidRDefault="00156BFD" w:rsidP="00156BFD">
      <w:pPr>
        <w:pStyle w:val="Corpsdetexte2"/>
        <w:keepNext/>
        <w:keepLines/>
        <w:numPr>
          <w:ilvl w:val="0"/>
          <w:numId w:val="20"/>
        </w:numPr>
        <w:pBdr>
          <w:top w:val="none" w:sz="0" w:space="0" w:color="auto"/>
          <w:left w:val="none" w:sz="0" w:space="0" w:color="auto"/>
          <w:bottom w:val="none" w:sz="0" w:space="0" w:color="auto"/>
          <w:right w:val="none" w:sz="0" w:space="0" w:color="auto"/>
        </w:pBdr>
        <w:spacing w:before="120" w:after="120"/>
        <w:jc w:val="both"/>
        <w:rPr>
          <w:color w:val="000000"/>
          <w:szCs w:val="24"/>
        </w:rPr>
      </w:pPr>
      <w:r w:rsidRPr="007174DD">
        <w:rPr>
          <w:color w:val="000000"/>
          <w:szCs w:val="24"/>
        </w:rPr>
        <w:t>P2.2.Nombre d’agents des CL et leurs associations qui ont participé aux activités de formation, coaching et sensibilisation dans le cadre de l’intervention (ventilé par sexe et région)</w:t>
      </w:r>
    </w:p>
    <w:p w14:paraId="0BEEDFBA" w14:textId="55E7308E" w:rsidR="008B389D" w:rsidRPr="008B389D" w:rsidRDefault="00156BFD" w:rsidP="008B389D">
      <w:pPr>
        <w:pStyle w:val="Commentaire"/>
        <w:numPr>
          <w:ilvl w:val="0"/>
          <w:numId w:val="20"/>
        </w:numPr>
        <w:rPr>
          <w:color w:val="000000"/>
          <w:sz w:val="24"/>
          <w:szCs w:val="24"/>
        </w:rPr>
      </w:pPr>
      <w:r w:rsidRPr="007174DD">
        <w:rPr>
          <w:color w:val="000000"/>
          <w:sz w:val="24"/>
          <w:szCs w:val="24"/>
        </w:rPr>
        <w:t>P2.3.Nombre de personnes inscrites sur la plateforme d’échanges, avec le soutien de l’intervention (ventilé par sexe, région et type d'acteur)</w:t>
      </w:r>
    </w:p>
    <w:p w14:paraId="1BFE774E" w14:textId="77777777" w:rsidR="008B389D" w:rsidRDefault="008B389D" w:rsidP="008B389D">
      <w:pPr>
        <w:pStyle w:val="Commentaire"/>
        <w:ind w:left="720"/>
        <w:rPr>
          <w:color w:val="000000"/>
          <w:sz w:val="24"/>
          <w:szCs w:val="24"/>
        </w:rPr>
      </w:pPr>
    </w:p>
    <w:p w14:paraId="16F16FE0" w14:textId="6609AB53" w:rsidR="00156BFD" w:rsidRDefault="00156BFD" w:rsidP="008B389D">
      <w:pPr>
        <w:pStyle w:val="Commentaire"/>
        <w:ind w:left="720"/>
        <w:rPr>
          <w:b/>
          <w:bCs/>
          <w:color w:val="000000"/>
          <w:szCs w:val="24"/>
          <w:u w:val="single"/>
        </w:rPr>
      </w:pPr>
      <w:r w:rsidRPr="008B389D">
        <w:rPr>
          <w:b/>
          <w:bCs/>
          <w:color w:val="000000"/>
          <w:szCs w:val="24"/>
          <w:u w:val="single"/>
        </w:rPr>
        <w:t>Produit 3: Des mécanismes pour la mise en œuvre des projets locaux de développement durable suivant les principes de bonne gouvernance sont définis.</w:t>
      </w:r>
    </w:p>
    <w:p w14:paraId="01A729C6" w14:textId="6E5F3B69" w:rsidR="008B389D" w:rsidRPr="008B0F75" w:rsidRDefault="008B389D" w:rsidP="008B0F75">
      <w:pPr>
        <w:pStyle w:val="Corpsdetexte2"/>
        <w:keepNext/>
        <w:keepLines/>
        <w:numPr>
          <w:ilvl w:val="0"/>
          <w:numId w:val="21"/>
        </w:numPr>
        <w:pBdr>
          <w:top w:val="none" w:sz="0" w:space="0" w:color="auto"/>
          <w:left w:val="none" w:sz="0" w:space="0" w:color="auto"/>
          <w:bottom w:val="none" w:sz="0" w:space="0" w:color="auto"/>
          <w:right w:val="none" w:sz="0" w:space="0" w:color="auto"/>
        </w:pBdr>
        <w:spacing w:before="120" w:after="120"/>
        <w:jc w:val="both"/>
        <w:rPr>
          <w:color w:val="000000"/>
          <w:szCs w:val="24"/>
        </w:rPr>
      </w:pPr>
      <w:r w:rsidRPr="007174DD">
        <w:rPr>
          <w:color w:val="000000"/>
          <w:szCs w:val="24"/>
        </w:rPr>
        <w:t>P3.1. Nombre de villes recevant une subvention pour mettre en œuvre des projets pilotes en maitrise d’ouvrage locale et en lien avec les acteurs du territoire (ventilé par région), dans le cadre de l’intervention.</w:t>
      </w:r>
    </w:p>
    <w:p w14:paraId="10D1ABD2" w14:textId="475DB213" w:rsidR="00156BFD" w:rsidRPr="007174DD" w:rsidRDefault="00156BFD" w:rsidP="00156BFD">
      <w:pPr>
        <w:pStyle w:val="Paragraphedeliste"/>
        <w:numPr>
          <w:ilvl w:val="0"/>
          <w:numId w:val="21"/>
        </w:numPr>
        <w:autoSpaceDE w:val="0"/>
        <w:autoSpaceDN w:val="0"/>
        <w:adjustRightInd w:val="0"/>
        <w:spacing w:before="40" w:after="40"/>
        <w:jc w:val="both"/>
        <w:rPr>
          <w:i/>
          <w:color w:val="000000"/>
          <w:szCs w:val="24"/>
        </w:rPr>
      </w:pPr>
      <w:r w:rsidRPr="007174DD">
        <w:rPr>
          <w:i/>
          <w:color w:val="000000"/>
          <w:szCs w:val="24"/>
        </w:rPr>
        <w:t>P.3.2. Nombre d’élus et d’agents des administrations locales accompagnés dans la mise en œuvre de projet pour le développement local durable (services essentiels, santé, numérique, environnement), avec le soutien de l’intervention (ventilé par sexe).</w:t>
      </w:r>
    </w:p>
    <w:p w14:paraId="56B9400D" w14:textId="77777777" w:rsidR="00156BFD" w:rsidRPr="007174DD" w:rsidRDefault="00156BFD" w:rsidP="00156BFD">
      <w:pPr>
        <w:pStyle w:val="Paragraphedeliste"/>
        <w:numPr>
          <w:ilvl w:val="0"/>
          <w:numId w:val="21"/>
        </w:numPr>
        <w:autoSpaceDE w:val="0"/>
        <w:autoSpaceDN w:val="0"/>
        <w:adjustRightInd w:val="0"/>
        <w:spacing w:before="40" w:after="40"/>
        <w:jc w:val="both"/>
        <w:rPr>
          <w:i/>
          <w:color w:val="000000"/>
          <w:szCs w:val="24"/>
        </w:rPr>
      </w:pPr>
      <w:r w:rsidRPr="007174DD">
        <w:rPr>
          <w:i/>
          <w:color w:val="000000"/>
          <w:szCs w:val="24"/>
        </w:rPr>
        <w:t>P3.3.Nombre de projets qui intègrent l'approche genre dans les indicateurs, avec le soutien de l'intervention</w:t>
      </w:r>
    </w:p>
    <w:p w14:paraId="27899DE5" w14:textId="77777777" w:rsidR="000A7E77" w:rsidRPr="007174DD" w:rsidRDefault="000A7E77" w:rsidP="00A00142">
      <w:pPr>
        <w:jc w:val="both"/>
        <w:rPr>
          <w:szCs w:val="24"/>
        </w:rPr>
      </w:pPr>
    </w:p>
    <w:p w14:paraId="657B183B" w14:textId="77777777" w:rsidR="000A7E77" w:rsidRPr="007174DD" w:rsidRDefault="000A7E77" w:rsidP="008B0A88">
      <w:pPr>
        <w:pStyle w:val="Paragraphedeliste"/>
        <w:numPr>
          <w:ilvl w:val="0"/>
          <w:numId w:val="29"/>
        </w:numPr>
        <w:rPr>
          <w:szCs w:val="24"/>
          <w:u w:val="single"/>
        </w:rPr>
      </w:pPr>
      <w:bookmarkStart w:id="13" w:name="_Toc88285354"/>
      <w:r w:rsidRPr="007174DD">
        <w:rPr>
          <w:szCs w:val="24"/>
          <w:u w:val="single"/>
        </w:rPr>
        <w:t>ETAT DE LA MISE EN ŒUVRE DU PROJET</w:t>
      </w:r>
      <w:bookmarkEnd w:id="13"/>
    </w:p>
    <w:p w14:paraId="08234B34" w14:textId="6D1DA0CC" w:rsidR="000A7E77" w:rsidRPr="007174DD" w:rsidRDefault="000A7E77">
      <w:pPr>
        <w:rPr>
          <w:szCs w:val="24"/>
          <w:u w:val="single"/>
        </w:rPr>
      </w:pPr>
    </w:p>
    <w:p w14:paraId="2F27E8FE" w14:textId="5DA033AE" w:rsidR="008B389D" w:rsidRDefault="00A00142" w:rsidP="00A00142">
      <w:pPr>
        <w:jc w:val="both"/>
        <w:rPr>
          <w:szCs w:val="24"/>
        </w:rPr>
      </w:pPr>
      <w:r w:rsidRPr="007174DD">
        <w:rPr>
          <w:szCs w:val="24"/>
        </w:rPr>
        <w:t>La présente commande d’évaluation du programme SGA3 intervient à mi-parcours, la mise en œuvre</w:t>
      </w:r>
      <w:r w:rsidR="00481D2F" w:rsidRPr="007174DD">
        <w:rPr>
          <w:szCs w:val="24"/>
        </w:rPr>
        <w:t xml:space="preserve"> de l’action </w:t>
      </w:r>
      <w:r w:rsidRPr="007174DD">
        <w:rPr>
          <w:szCs w:val="24"/>
        </w:rPr>
        <w:t>se fait sans diff</w:t>
      </w:r>
      <w:r w:rsidR="00481D2F" w:rsidRPr="007174DD">
        <w:rPr>
          <w:szCs w:val="24"/>
        </w:rPr>
        <w:t>iculté</w:t>
      </w:r>
      <w:r w:rsidR="008B553A">
        <w:rPr>
          <w:szCs w:val="24"/>
        </w:rPr>
        <w:t xml:space="preserve"> particulière, </w:t>
      </w:r>
      <w:r w:rsidR="00481D2F" w:rsidRPr="007174DD">
        <w:rPr>
          <w:szCs w:val="24"/>
        </w:rPr>
        <w:t xml:space="preserve">les activités </w:t>
      </w:r>
      <w:r w:rsidR="008B553A">
        <w:rPr>
          <w:szCs w:val="24"/>
        </w:rPr>
        <w:t>se déroulent comme</w:t>
      </w:r>
      <w:r w:rsidR="00481D2F" w:rsidRPr="007174DD">
        <w:rPr>
          <w:szCs w:val="24"/>
        </w:rPr>
        <w:t xml:space="preserve"> prévu par les différents documents de cadr</w:t>
      </w:r>
      <w:r w:rsidR="008B389D">
        <w:rPr>
          <w:szCs w:val="24"/>
        </w:rPr>
        <w:t>age</w:t>
      </w:r>
      <w:r w:rsidR="00481D2F" w:rsidRPr="007174DD">
        <w:rPr>
          <w:szCs w:val="24"/>
        </w:rPr>
        <w:t xml:space="preserve"> du programme</w:t>
      </w:r>
      <w:r w:rsidR="008B389D">
        <w:rPr>
          <w:szCs w:val="24"/>
        </w:rPr>
        <w:t xml:space="preserve"> (qui seront mis à disposition au moment de la revue documentaire) </w:t>
      </w:r>
      <w:r w:rsidR="00481D2F" w:rsidRPr="007174DD">
        <w:rPr>
          <w:szCs w:val="24"/>
        </w:rPr>
        <w:t>. En effet</w:t>
      </w:r>
      <w:r w:rsidR="008B389D">
        <w:rPr>
          <w:szCs w:val="24"/>
        </w:rPr>
        <w:t>,</w:t>
      </w:r>
      <w:r w:rsidRPr="007174DD">
        <w:rPr>
          <w:szCs w:val="24"/>
        </w:rPr>
        <w:t xml:space="preserve"> </w:t>
      </w:r>
      <w:r w:rsidR="008B389D">
        <w:rPr>
          <w:szCs w:val="24"/>
        </w:rPr>
        <w:t>hormis le</w:t>
      </w:r>
      <w:r w:rsidRPr="007174DD">
        <w:rPr>
          <w:szCs w:val="24"/>
        </w:rPr>
        <w:t xml:space="preserve"> léger retard au démarrage survenu entre septembre et décembre</w:t>
      </w:r>
      <w:r w:rsidR="00DD3BB7">
        <w:rPr>
          <w:szCs w:val="24"/>
        </w:rPr>
        <w:t xml:space="preserve"> </w:t>
      </w:r>
      <w:r w:rsidRPr="007174DD">
        <w:rPr>
          <w:szCs w:val="24"/>
        </w:rPr>
        <w:t xml:space="preserve">2022, </w:t>
      </w:r>
      <w:r w:rsidR="008B389D">
        <w:rPr>
          <w:szCs w:val="24"/>
        </w:rPr>
        <w:t xml:space="preserve">induit </w:t>
      </w:r>
      <w:r w:rsidRPr="007174DD">
        <w:rPr>
          <w:szCs w:val="24"/>
        </w:rPr>
        <w:t>par le</w:t>
      </w:r>
      <w:r w:rsidR="008B389D">
        <w:rPr>
          <w:szCs w:val="24"/>
        </w:rPr>
        <w:t>s procédures de</w:t>
      </w:r>
      <w:r w:rsidRPr="007174DD">
        <w:rPr>
          <w:szCs w:val="24"/>
        </w:rPr>
        <w:t xml:space="preserve"> recrutement des différents coordinateurs régionaux</w:t>
      </w:r>
      <w:r w:rsidR="00481D2F" w:rsidRPr="007174DD">
        <w:rPr>
          <w:szCs w:val="24"/>
        </w:rPr>
        <w:t>, l’ensemble des activités prévu</w:t>
      </w:r>
      <w:r w:rsidR="00596337">
        <w:rPr>
          <w:szCs w:val="24"/>
        </w:rPr>
        <w:t>e</w:t>
      </w:r>
      <w:r w:rsidR="00481D2F" w:rsidRPr="007174DD">
        <w:rPr>
          <w:szCs w:val="24"/>
        </w:rPr>
        <w:t>s ont été mis</w:t>
      </w:r>
      <w:r w:rsidR="00596337">
        <w:rPr>
          <w:szCs w:val="24"/>
        </w:rPr>
        <w:t>es</w:t>
      </w:r>
      <w:r w:rsidR="00481D2F" w:rsidRPr="007174DD">
        <w:rPr>
          <w:szCs w:val="24"/>
        </w:rPr>
        <w:t xml:space="preserve"> en œuvre dans les délais impartis </w:t>
      </w:r>
      <w:r w:rsidRPr="007174DD">
        <w:rPr>
          <w:szCs w:val="24"/>
        </w:rPr>
        <w:t xml:space="preserve">. </w:t>
      </w:r>
      <w:r w:rsidR="008B389D">
        <w:rPr>
          <w:szCs w:val="24"/>
        </w:rPr>
        <w:t>L</w:t>
      </w:r>
      <w:r w:rsidRPr="007174DD">
        <w:rPr>
          <w:szCs w:val="24"/>
        </w:rPr>
        <w:t>’ensemble des 6 zones géographiques</w:t>
      </w:r>
      <w:r w:rsidR="00DD3BB7">
        <w:rPr>
          <w:szCs w:val="24"/>
        </w:rPr>
        <w:t xml:space="preserve"> (Afrique de l’ouest, Maghreb, Afrique centrale, Grands Lacs, Océan Indien,  Asie du Sud-est) </w:t>
      </w:r>
      <w:r w:rsidRPr="007174DD">
        <w:rPr>
          <w:szCs w:val="24"/>
        </w:rPr>
        <w:t>du programme ont pu</w:t>
      </w:r>
      <w:r w:rsidR="008B389D">
        <w:rPr>
          <w:szCs w:val="24"/>
        </w:rPr>
        <w:t xml:space="preserve"> mettre en </w:t>
      </w:r>
      <w:r w:rsidRPr="007174DD">
        <w:rPr>
          <w:szCs w:val="24"/>
        </w:rPr>
        <w:t>œuvre</w:t>
      </w:r>
      <w:r w:rsidR="00481D2F" w:rsidRPr="007174DD">
        <w:rPr>
          <w:szCs w:val="24"/>
        </w:rPr>
        <w:t xml:space="preserve"> les différentes </w:t>
      </w:r>
      <w:r w:rsidR="00481D2F" w:rsidRPr="007174DD">
        <w:rPr>
          <w:szCs w:val="24"/>
        </w:rPr>
        <w:lastRenderedPageBreak/>
        <w:t>activités</w:t>
      </w:r>
      <w:r w:rsidRPr="007174DD">
        <w:rPr>
          <w:szCs w:val="24"/>
        </w:rPr>
        <w:t>. Les réseaux sous</w:t>
      </w:r>
      <w:r w:rsidR="00FF1609">
        <w:rPr>
          <w:szCs w:val="24"/>
        </w:rPr>
        <w:t>-</w:t>
      </w:r>
      <w:r w:rsidRPr="007174DD">
        <w:rPr>
          <w:szCs w:val="24"/>
        </w:rPr>
        <w:t>régionaux formellement organisés se démarque</w:t>
      </w:r>
      <w:r w:rsidR="00481D2F" w:rsidRPr="007174DD">
        <w:rPr>
          <w:szCs w:val="24"/>
        </w:rPr>
        <w:t>nt</w:t>
      </w:r>
      <w:r w:rsidRPr="007174DD">
        <w:rPr>
          <w:szCs w:val="24"/>
        </w:rPr>
        <w:t xml:space="preserve"> légèrement </w:t>
      </w:r>
      <w:r w:rsidR="00DD3BB7">
        <w:rPr>
          <w:szCs w:val="24"/>
        </w:rPr>
        <w:t>car ils sont plus avancés que le</w:t>
      </w:r>
      <w:r w:rsidRPr="007174DD">
        <w:rPr>
          <w:szCs w:val="24"/>
        </w:rPr>
        <w:t>s autres réseaux informels,</w:t>
      </w:r>
      <w:r w:rsidR="00596337">
        <w:rPr>
          <w:szCs w:val="24"/>
        </w:rPr>
        <w:t xml:space="preserve"> travaill</w:t>
      </w:r>
      <w:r w:rsidR="00DD3BB7">
        <w:rPr>
          <w:szCs w:val="24"/>
        </w:rPr>
        <w:t>a</w:t>
      </w:r>
      <w:r w:rsidR="00596337">
        <w:rPr>
          <w:szCs w:val="24"/>
        </w:rPr>
        <w:t xml:space="preserve">nt </w:t>
      </w:r>
      <w:r w:rsidR="00DD3BB7">
        <w:rPr>
          <w:szCs w:val="24"/>
        </w:rPr>
        <w:t xml:space="preserve">sur </w:t>
      </w:r>
      <w:r w:rsidR="00481D2F" w:rsidRPr="007174DD">
        <w:rPr>
          <w:szCs w:val="24"/>
        </w:rPr>
        <w:t xml:space="preserve">les </w:t>
      </w:r>
      <w:r w:rsidR="00DD3BB7">
        <w:rPr>
          <w:szCs w:val="24"/>
        </w:rPr>
        <w:t xml:space="preserve">même </w:t>
      </w:r>
      <w:r w:rsidR="00481D2F" w:rsidRPr="007174DD">
        <w:rPr>
          <w:szCs w:val="24"/>
        </w:rPr>
        <w:t>activités transversales, groupes de travail thématiques</w:t>
      </w:r>
      <w:r w:rsidR="00DD3BB7">
        <w:rPr>
          <w:szCs w:val="24"/>
        </w:rPr>
        <w:t>,</w:t>
      </w:r>
      <w:r w:rsidR="00481D2F" w:rsidRPr="007174DD">
        <w:rPr>
          <w:szCs w:val="24"/>
        </w:rPr>
        <w:t xml:space="preserve"> </w:t>
      </w:r>
      <w:r w:rsidR="008B389D">
        <w:rPr>
          <w:szCs w:val="24"/>
        </w:rPr>
        <w:t>rencontres annuelle régionales</w:t>
      </w:r>
      <w:r w:rsidR="00FF1609">
        <w:rPr>
          <w:szCs w:val="24"/>
        </w:rPr>
        <w:t xml:space="preserve"> de capitalisation et de mutualisation</w:t>
      </w:r>
      <w:r w:rsidR="00481D2F" w:rsidRPr="007174DD">
        <w:rPr>
          <w:szCs w:val="24"/>
        </w:rPr>
        <w:t>, partenariat villes-universités</w:t>
      </w:r>
      <w:r w:rsidR="00DD3BB7">
        <w:rPr>
          <w:szCs w:val="24"/>
        </w:rPr>
        <w:t>.</w:t>
      </w:r>
    </w:p>
    <w:p w14:paraId="4053D01F" w14:textId="77777777" w:rsidR="00797EC5" w:rsidRDefault="00797EC5" w:rsidP="00A00142">
      <w:pPr>
        <w:jc w:val="both"/>
        <w:rPr>
          <w:szCs w:val="24"/>
        </w:rPr>
      </w:pPr>
    </w:p>
    <w:p w14:paraId="2FA337A4" w14:textId="65EB7DF0" w:rsidR="00A00142" w:rsidRPr="007174DD" w:rsidRDefault="00797EC5" w:rsidP="00A00142">
      <w:pPr>
        <w:jc w:val="both"/>
        <w:rPr>
          <w:szCs w:val="24"/>
        </w:rPr>
      </w:pPr>
      <w:r>
        <w:rPr>
          <w:szCs w:val="24"/>
        </w:rPr>
        <w:t xml:space="preserve">Le </w:t>
      </w:r>
      <w:r w:rsidR="00481D2F" w:rsidRPr="007174DD">
        <w:rPr>
          <w:szCs w:val="24"/>
        </w:rPr>
        <w:t>programme intègre comme évoqué précédemment la mise en œuvre de projet pilote</w:t>
      </w:r>
      <w:r w:rsidR="008B389D">
        <w:rPr>
          <w:szCs w:val="24"/>
        </w:rPr>
        <w:t xml:space="preserve"> </w:t>
      </w:r>
      <w:r w:rsidR="00FF1609">
        <w:rPr>
          <w:szCs w:val="24"/>
        </w:rPr>
        <w:t>à</w:t>
      </w:r>
      <w:r w:rsidR="008B389D">
        <w:rPr>
          <w:szCs w:val="24"/>
        </w:rPr>
        <w:t xml:space="preserve"> destination des collectivités locales.</w:t>
      </w:r>
      <w:r w:rsidR="00481D2F" w:rsidRPr="007174DD">
        <w:rPr>
          <w:szCs w:val="24"/>
        </w:rPr>
        <w:t xml:space="preserve"> </w:t>
      </w:r>
      <w:r w:rsidR="008B389D">
        <w:rPr>
          <w:szCs w:val="24"/>
        </w:rPr>
        <w:t>U</w:t>
      </w:r>
      <w:r w:rsidR="00481D2F" w:rsidRPr="007174DD">
        <w:rPr>
          <w:szCs w:val="24"/>
        </w:rPr>
        <w:t>n aspect inédit</w:t>
      </w:r>
      <w:r w:rsidR="008B389D">
        <w:rPr>
          <w:szCs w:val="24"/>
        </w:rPr>
        <w:t xml:space="preserve"> dans le cadre de la stratégie AIMF-UE qui  permet  à l’AIMF de faire le lien avec sa stratégie interne </w:t>
      </w:r>
      <w:r>
        <w:rPr>
          <w:szCs w:val="24"/>
        </w:rPr>
        <w:t>de financement</w:t>
      </w:r>
      <w:r w:rsidR="008B389D">
        <w:rPr>
          <w:szCs w:val="24"/>
        </w:rPr>
        <w:t xml:space="preserve"> et d’accompagnement des projets d’investissement des CL.</w:t>
      </w:r>
      <w:r>
        <w:rPr>
          <w:szCs w:val="24"/>
        </w:rPr>
        <w:t xml:space="preserve"> Dans le cadre du SGA3</w:t>
      </w:r>
      <w:r w:rsidR="00596337">
        <w:rPr>
          <w:szCs w:val="24"/>
        </w:rPr>
        <w:t>,</w:t>
      </w:r>
      <w:r>
        <w:rPr>
          <w:szCs w:val="24"/>
        </w:rPr>
        <w:t xml:space="preserve">  l’AIMF finance au côté de l’UE des </w:t>
      </w:r>
      <w:r w:rsidR="00481D2F" w:rsidRPr="007174DD">
        <w:rPr>
          <w:szCs w:val="24"/>
        </w:rPr>
        <w:t>projet</w:t>
      </w:r>
      <w:r>
        <w:rPr>
          <w:szCs w:val="24"/>
        </w:rPr>
        <w:t>s</w:t>
      </w:r>
      <w:r w:rsidR="00481D2F" w:rsidRPr="007174DD">
        <w:rPr>
          <w:szCs w:val="24"/>
        </w:rPr>
        <w:t xml:space="preserve"> terrain </w:t>
      </w:r>
      <w:r>
        <w:rPr>
          <w:szCs w:val="24"/>
        </w:rPr>
        <w:t xml:space="preserve">répondant aux priorités des villes, </w:t>
      </w:r>
      <w:r w:rsidR="00481D2F" w:rsidRPr="007174DD">
        <w:rPr>
          <w:szCs w:val="24"/>
        </w:rPr>
        <w:t>mis en œuvre par les collectivités locales  partenaires</w:t>
      </w:r>
      <w:r w:rsidR="00596337">
        <w:rPr>
          <w:szCs w:val="24"/>
        </w:rPr>
        <w:t xml:space="preserve"> dans 8 pays pilotes au Bénin, au Burundi, au Cameroun, au Togo</w:t>
      </w:r>
      <w:r w:rsidR="00FF1609">
        <w:rPr>
          <w:szCs w:val="24"/>
        </w:rPr>
        <w:t>,</w:t>
      </w:r>
      <w:r w:rsidR="00596337">
        <w:rPr>
          <w:szCs w:val="24"/>
        </w:rPr>
        <w:t xml:space="preserve"> en Tunisie, à Madagascar, au Vietnam et au Laos </w:t>
      </w:r>
      <w:r>
        <w:rPr>
          <w:szCs w:val="24"/>
        </w:rPr>
        <w:t xml:space="preserve">. </w:t>
      </w:r>
    </w:p>
    <w:p w14:paraId="21EE5964" w14:textId="77777777" w:rsidR="002F02A4" w:rsidRPr="007174DD" w:rsidRDefault="002F02A4" w:rsidP="00A00142">
      <w:pPr>
        <w:jc w:val="both"/>
        <w:rPr>
          <w:szCs w:val="24"/>
        </w:rPr>
      </w:pPr>
    </w:p>
    <w:p w14:paraId="1231ED68" w14:textId="6EF38F16" w:rsidR="00AA104A" w:rsidRDefault="007174DD" w:rsidP="008B0A88">
      <w:pPr>
        <w:pStyle w:val="Titre2"/>
        <w:numPr>
          <w:ilvl w:val="0"/>
          <w:numId w:val="26"/>
        </w:numPr>
        <w:rPr>
          <w:rFonts w:ascii="Times New Roman" w:hAnsi="Times New Roman" w:cs="Times New Roman"/>
          <w:sz w:val="24"/>
          <w:szCs w:val="24"/>
        </w:rPr>
      </w:pPr>
      <w:bookmarkStart w:id="14" w:name="_Toc88285355"/>
      <w:bookmarkStart w:id="15" w:name="_Toc167895120"/>
      <w:r w:rsidRPr="007174DD">
        <w:rPr>
          <w:rFonts w:ascii="Times New Roman" w:hAnsi="Times New Roman" w:cs="Times New Roman"/>
          <w:sz w:val="24"/>
          <w:szCs w:val="24"/>
        </w:rPr>
        <w:t>Objectifs de l’</w:t>
      </w:r>
      <w:bookmarkEnd w:id="14"/>
      <w:r w:rsidRPr="007174DD">
        <w:rPr>
          <w:rFonts w:ascii="Times New Roman" w:hAnsi="Times New Roman" w:cs="Times New Roman"/>
          <w:sz w:val="24"/>
          <w:szCs w:val="24"/>
        </w:rPr>
        <w:t>évaluation</w:t>
      </w:r>
      <w:bookmarkEnd w:id="15"/>
    </w:p>
    <w:p w14:paraId="673CE028" w14:textId="77777777" w:rsidR="00DD3BB7" w:rsidRPr="00DD3BB7" w:rsidRDefault="00DD3BB7" w:rsidP="00DD3BB7"/>
    <w:p w14:paraId="3F917291" w14:textId="77777777" w:rsidR="00DD3BB7" w:rsidRDefault="00DD3BB7" w:rsidP="00DD3BB7">
      <w:pPr>
        <w:jc w:val="both"/>
        <w:rPr>
          <w:szCs w:val="24"/>
        </w:rPr>
      </w:pPr>
      <w:r>
        <w:rPr>
          <w:szCs w:val="24"/>
        </w:rPr>
        <w:t xml:space="preserve">La présente commande comporte deux étapes : </w:t>
      </w:r>
    </w:p>
    <w:p w14:paraId="49E4E9AF" w14:textId="77777777" w:rsidR="00DD3BB7" w:rsidRDefault="00DD3BB7" w:rsidP="00DD3BB7">
      <w:pPr>
        <w:jc w:val="both"/>
        <w:rPr>
          <w:szCs w:val="24"/>
        </w:rPr>
      </w:pPr>
    </w:p>
    <w:p w14:paraId="6DE5C393" w14:textId="52A6FC0C" w:rsidR="00DD3BB7" w:rsidRDefault="00DD3BB7" w:rsidP="00DD3BB7">
      <w:pPr>
        <w:pStyle w:val="Paragraphedeliste"/>
        <w:numPr>
          <w:ilvl w:val="0"/>
          <w:numId w:val="2"/>
        </w:numPr>
        <w:jc w:val="both"/>
        <w:rPr>
          <w:szCs w:val="24"/>
        </w:rPr>
      </w:pPr>
      <w:r>
        <w:rPr>
          <w:szCs w:val="24"/>
        </w:rPr>
        <w:t xml:space="preserve">Une évaluation du programme à mi-parcours (2ans </w:t>
      </w:r>
      <w:r w:rsidR="0098521B">
        <w:rPr>
          <w:szCs w:val="24"/>
        </w:rPr>
        <w:t>d’</w:t>
      </w:r>
      <w:r>
        <w:rPr>
          <w:szCs w:val="24"/>
        </w:rPr>
        <w:t xml:space="preserve">activités) </w:t>
      </w:r>
    </w:p>
    <w:p w14:paraId="228CD8EA" w14:textId="77777777" w:rsidR="00DD3BB7" w:rsidRDefault="00DD3BB7" w:rsidP="00DD3BB7">
      <w:pPr>
        <w:pStyle w:val="Paragraphedeliste"/>
        <w:numPr>
          <w:ilvl w:val="0"/>
          <w:numId w:val="2"/>
        </w:numPr>
        <w:jc w:val="both"/>
        <w:rPr>
          <w:szCs w:val="24"/>
        </w:rPr>
      </w:pPr>
      <w:r>
        <w:rPr>
          <w:szCs w:val="24"/>
        </w:rPr>
        <w:t xml:space="preserve">Une </w:t>
      </w:r>
      <w:r w:rsidRPr="00797EC5">
        <w:rPr>
          <w:szCs w:val="24"/>
        </w:rPr>
        <w:t>évaluation finale du programme</w:t>
      </w:r>
      <w:r>
        <w:rPr>
          <w:szCs w:val="24"/>
        </w:rPr>
        <w:t>.</w:t>
      </w:r>
    </w:p>
    <w:p w14:paraId="502F3DCC" w14:textId="77777777" w:rsidR="0098521B" w:rsidRPr="0098521B" w:rsidRDefault="0098521B" w:rsidP="0098521B">
      <w:pPr>
        <w:ind w:left="360"/>
        <w:jc w:val="both"/>
        <w:rPr>
          <w:szCs w:val="24"/>
        </w:rPr>
      </w:pPr>
    </w:p>
    <w:p w14:paraId="106A3BE3" w14:textId="12901FFB" w:rsidR="00DD3BB7" w:rsidRDefault="00DD3BB7" w:rsidP="00DD3BB7">
      <w:pPr>
        <w:jc w:val="both"/>
        <w:rPr>
          <w:szCs w:val="24"/>
        </w:rPr>
      </w:pPr>
      <w:r>
        <w:rPr>
          <w:szCs w:val="24"/>
        </w:rPr>
        <w:t>Pour garantir la pertinence de l’évaluation et assurer que l’analyse et les recommandations qui y seront formul</w:t>
      </w:r>
      <w:r w:rsidR="00FF1609">
        <w:rPr>
          <w:szCs w:val="24"/>
        </w:rPr>
        <w:t>és</w:t>
      </w:r>
      <w:r>
        <w:rPr>
          <w:szCs w:val="24"/>
        </w:rPr>
        <w:t xml:space="preserve"> puissent enrichir le commanditaire pour le renforcement de sa stratégie partenariale avec l’UE, les deux étapes doivent être réalisées par le même prestataire. </w:t>
      </w:r>
    </w:p>
    <w:p w14:paraId="568833C1" w14:textId="77777777" w:rsidR="00DD3BB7" w:rsidRDefault="00DD3BB7" w:rsidP="00DD3BB7">
      <w:pPr>
        <w:jc w:val="both"/>
        <w:rPr>
          <w:szCs w:val="24"/>
        </w:rPr>
      </w:pPr>
    </w:p>
    <w:p w14:paraId="4236471C" w14:textId="77777777" w:rsidR="00DD3BB7" w:rsidRPr="007174DD" w:rsidRDefault="00DD3BB7" w:rsidP="00DD3BB7">
      <w:pPr>
        <w:jc w:val="both"/>
        <w:rPr>
          <w:szCs w:val="24"/>
        </w:rPr>
      </w:pPr>
      <w:r>
        <w:rPr>
          <w:szCs w:val="24"/>
        </w:rPr>
        <w:t>Nous refuserons toute proposition qui scindera l’appel en deux offres distinctes.</w:t>
      </w:r>
    </w:p>
    <w:p w14:paraId="516F576F" w14:textId="0699B987" w:rsidR="00D24F22" w:rsidRPr="007174DD" w:rsidRDefault="00D24F22" w:rsidP="004B46E1">
      <w:pPr>
        <w:pStyle w:val="Titre1"/>
        <w:rPr>
          <w:rFonts w:ascii="Times New Roman" w:hAnsi="Times New Roman" w:cs="Times New Roman"/>
          <w:sz w:val="24"/>
          <w:szCs w:val="24"/>
        </w:rPr>
      </w:pPr>
      <w:bookmarkStart w:id="16" w:name="_Toc167895121"/>
      <w:r w:rsidRPr="007174DD">
        <w:rPr>
          <w:rFonts w:ascii="Times New Roman" w:hAnsi="Times New Roman" w:cs="Times New Roman"/>
          <w:sz w:val="24"/>
          <w:szCs w:val="24"/>
        </w:rPr>
        <w:t>Contenu de l’évaluation</w:t>
      </w:r>
      <w:bookmarkEnd w:id="16"/>
    </w:p>
    <w:p w14:paraId="377A172A" w14:textId="77777777" w:rsidR="00D24F22" w:rsidRPr="007174DD" w:rsidRDefault="00D24F22" w:rsidP="00D24F22">
      <w:pPr>
        <w:rPr>
          <w:szCs w:val="24"/>
        </w:rPr>
      </w:pPr>
    </w:p>
    <w:p w14:paraId="61D777EE" w14:textId="73A07D9D" w:rsidR="00D24F22" w:rsidRPr="007174DD" w:rsidRDefault="00D24F22" w:rsidP="008B0A88">
      <w:pPr>
        <w:pStyle w:val="Paragraphedeliste"/>
        <w:numPr>
          <w:ilvl w:val="0"/>
          <w:numId w:val="32"/>
        </w:numPr>
        <w:rPr>
          <w:szCs w:val="24"/>
          <w:u w:val="single"/>
        </w:rPr>
      </w:pPr>
      <w:r w:rsidRPr="007174DD">
        <w:rPr>
          <w:szCs w:val="24"/>
          <w:u w:val="single"/>
        </w:rPr>
        <w:t>Objectifs de l’évaluation</w:t>
      </w:r>
    </w:p>
    <w:p w14:paraId="6E9E028D" w14:textId="77777777" w:rsidR="00D24F22" w:rsidRPr="007174DD" w:rsidRDefault="00D24F22" w:rsidP="00D24F22">
      <w:pPr>
        <w:rPr>
          <w:szCs w:val="24"/>
        </w:rPr>
      </w:pPr>
    </w:p>
    <w:p w14:paraId="41A6F9DE" w14:textId="615753AA" w:rsidR="00D24F22" w:rsidRPr="007174DD" w:rsidRDefault="00D24F22" w:rsidP="00D24F22">
      <w:pPr>
        <w:pStyle w:val="Paragraphedeliste"/>
        <w:numPr>
          <w:ilvl w:val="0"/>
          <w:numId w:val="22"/>
        </w:numPr>
        <w:rPr>
          <w:szCs w:val="24"/>
        </w:rPr>
      </w:pPr>
      <w:r w:rsidRPr="007174DD">
        <w:rPr>
          <w:b/>
          <w:bCs/>
          <w:szCs w:val="24"/>
        </w:rPr>
        <w:t xml:space="preserve">Etablir un bilan </w:t>
      </w:r>
      <w:r w:rsidR="0086011A" w:rsidRPr="007174DD">
        <w:rPr>
          <w:b/>
          <w:bCs/>
          <w:szCs w:val="24"/>
        </w:rPr>
        <w:t>à mi-parcours</w:t>
      </w:r>
      <w:r w:rsidR="004B46E1">
        <w:rPr>
          <w:b/>
          <w:bCs/>
          <w:szCs w:val="24"/>
        </w:rPr>
        <w:t xml:space="preserve"> et en fin de programme</w:t>
      </w:r>
      <w:r w:rsidR="0086011A" w:rsidRPr="007174DD">
        <w:rPr>
          <w:b/>
          <w:bCs/>
          <w:szCs w:val="24"/>
        </w:rPr>
        <w:t xml:space="preserve"> </w:t>
      </w:r>
      <w:r w:rsidRPr="007174DD">
        <w:rPr>
          <w:b/>
          <w:bCs/>
          <w:szCs w:val="24"/>
        </w:rPr>
        <w:t>et rendre compte</w:t>
      </w:r>
      <w:r w:rsidR="006716C7" w:rsidRPr="007174DD">
        <w:rPr>
          <w:szCs w:val="24"/>
        </w:rPr>
        <w:t xml:space="preserve">. </w:t>
      </w:r>
      <w:r w:rsidRPr="007174DD">
        <w:rPr>
          <w:szCs w:val="24"/>
        </w:rPr>
        <w:t>L’évaluation devra analyser le projet et ses principales composantes à l’aune des critères en usage pour cela (pertinence, cohérence, efficacité, efficience, impacts, durabilité</w:t>
      </w:r>
      <w:r w:rsidR="0086011A" w:rsidRPr="007174DD">
        <w:rPr>
          <w:szCs w:val="24"/>
        </w:rPr>
        <w:t>)</w:t>
      </w:r>
      <w:r w:rsidR="006716C7" w:rsidRPr="007174DD">
        <w:rPr>
          <w:szCs w:val="24"/>
        </w:rPr>
        <w:t> :</w:t>
      </w:r>
    </w:p>
    <w:p w14:paraId="66FFC7E3" w14:textId="77777777" w:rsidR="00775A44" w:rsidRPr="007174DD" w:rsidRDefault="00775A44" w:rsidP="00775A44">
      <w:pPr>
        <w:pStyle w:val="Paragraphedeliste"/>
        <w:rPr>
          <w:szCs w:val="24"/>
        </w:rPr>
      </w:pPr>
    </w:p>
    <w:p w14:paraId="2CAC5D93" w14:textId="77777777" w:rsidR="00775A44" w:rsidRPr="007174DD" w:rsidRDefault="00775A44" w:rsidP="00775A44">
      <w:pPr>
        <w:jc w:val="both"/>
        <w:rPr>
          <w:szCs w:val="24"/>
        </w:rPr>
      </w:pPr>
      <w:r w:rsidRPr="007174DD">
        <w:rPr>
          <w:szCs w:val="24"/>
          <w:u w:val="single"/>
        </w:rPr>
        <w:t>L’évaluation de la pertinence et de la cohérence du projet</w:t>
      </w:r>
      <w:r w:rsidRPr="007174DD">
        <w:rPr>
          <w:szCs w:val="24"/>
        </w:rPr>
        <w:t xml:space="preserve"> : </w:t>
      </w:r>
    </w:p>
    <w:p w14:paraId="59C16E3B" w14:textId="77777777" w:rsidR="00775A44" w:rsidRPr="007174DD" w:rsidRDefault="00775A44" w:rsidP="00775A44">
      <w:pPr>
        <w:jc w:val="both"/>
        <w:rPr>
          <w:szCs w:val="24"/>
        </w:rPr>
      </w:pPr>
      <w:r w:rsidRPr="007174DD">
        <w:rPr>
          <w:szCs w:val="24"/>
        </w:rPr>
        <w:t>Les activités réalisées, la méthode, les besoins et contraintes des groupes cibles et bénéficiaires finaux proposés, les parties prenantes, le contexte d’intervention sont-ils pertinents et cohérents pour atteindre les objectifs annoncés ?</w:t>
      </w:r>
    </w:p>
    <w:p w14:paraId="6CAEB342" w14:textId="7778E137" w:rsidR="00775A44" w:rsidRPr="007174DD" w:rsidRDefault="00775A44" w:rsidP="00775A44">
      <w:pPr>
        <w:jc w:val="both"/>
        <w:rPr>
          <w:szCs w:val="24"/>
        </w:rPr>
      </w:pPr>
    </w:p>
    <w:p w14:paraId="051FE56A" w14:textId="44251E1B" w:rsidR="00775A44" w:rsidRPr="007174DD" w:rsidRDefault="00775A44" w:rsidP="00775A44">
      <w:pPr>
        <w:jc w:val="both"/>
        <w:rPr>
          <w:szCs w:val="24"/>
          <w:u w:val="single"/>
        </w:rPr>
      </w:pPr>
      <w:r w:rsidRPr="007174DD">
        <w:rPr>
          <w:szCs w:val="24"/>
          <w:u w:val="single"/>
        </w:rPr>
        <w:t>L’évaluation de l’efficacité du projet</w:t>
      </w:r>
      <w:r w:rsidR="00C52B2B" w:rsidRPr="007174DD">
        <w:rPr>
          <w:szCs w:val="24"/>
          <w:u w:val="single"/>
        </w:rPr>
        <w:t> :</w:t>
      </w:r>
    </w:p>
    <w:p w14:paraId="1EAF1027" w14:textId="77777777" w:rsidR="00775A44" w:rsidRPr="007174DD" w:rsidRDefault="00775A44" w:rsidP="00775A44">
      <w:pPr>
        <w:jc w:val="both"/>
        <w:rPr>
          <w:szCs w:val="24"/>
        </w:rPr>
      </w:pPr>
      <w:r w:rsidRPr="007174DD">
        <w:rPr>
          <w:szCs w:val="24"/>
        </w:rPr>
        <w:t>Il s’agit d’une part d’examiner les résultats obtenus selon les indicateurs des résultats attendus du projet, de constater et de justifier les éventuels écarts, en fonction des contraintes rencontrées dans la mise en œuvre du projet. D’autre part, il s’agit d’examiner l’ensemble des résultats concrets atteints.</w:t>
      </w:r>
    </w:p>
    <w:p w14:paraId="3D0B77AB" w14:textId="77777777" w:rsidR="00775A44" w:rsidRPr="007174DD" w:rsidRDefault="00775A44" w:rsidP="00775A44">
      <w:pPr>
        <w:jc w:val="both"/>
        <w:rPr>
          <w:szCs w:val="24"/>
        </w:rPr>
      </w:pPr>
    </w:p>
    <w:p w14:paraId="7BFAAA3E" w14:textId="77777777" w:rsidR="00775A44" w:rsidRPr="007174DD" w:rsidRDefault="00775A44" w:rsidP="00775A44">
      <w:pPr>
        <w:jc w:val="both"/>
        <w:rPr>
          <w:szCs w:val="24"/>
          <w:u w:val="single"/>
        </w:rPr>
      </w:pPr>
      <w:r w:rsidRPr="007174DD">
        <w:rPr>
          <w:szCs w:val="24"/>
          <w:u w:val="single"/>
        </w:rPr>
        <w:t>L’évaluation de l’efficience du projet</w:t>
      </w:r>
    </w:p>
    <w:p w14:paraId="7D7B19BB" w14:textId="77777777" w:rsidR="00775A44" w:rsidRPr="007174DD" w:rsidRDefault="00775A44" w:rsidP="00775A44">
      <w:pPr>
        <w:jc w:val="both"/>
        <w:rPr>
          <w:szCs w:val="24"/>
        </w:rPr>
      </w:pPr>
      <w:r w:rsidRPr="007174DD">
        <w:rPr>
          <w:szCs w:val="24"/>
        </w:rPr>
        <w:t>L’évaluateur étudiera la relation entre les moyens mis en œuvre et leurs coûts, d’une part, et les réalisations financées, d’autre part, il analysera également les retards dans la mise en œuvre des activités.</w:t>
      </w:r>
    </w:p>
    <w:p w14:paraId="76970747" w14:textId="77777777" w:rsidR="00775A44" w:rsidRPr="007174DD" w:rsidRDefault="00775A44" w:rsidP="00775A44">
      <w:pPr>
        <w:jc w:val="both"/>
        <w:rPr>
          <w:szCs w:val="24"/>
        </w:rPr>
      </w:pPr>
    </w:p>
    <w:p w14:paraId="1AFF21CF" w14:textId="77777777" w:rsidR="00775A44" w:rsidRPr="007174DD" w:rsidRDefault="00775A44" w:rsidP="00775A44">
      <w:pPr>
        <w:jc w:val="both"/>
        <w:rPr>
          <w:szCs w:val="24"/>
          <w:u w:val="single"/>
        </w:rPr>
      </w:pPr>
      <w:r w:rsidRPr="007174DD">
        <w:rPr>
          <w:szCs w:val="24"/>
          <w:u w:val="single"/>
        </w:rPr>
        <w:t>L’évaluation des effets et l’impact du projet</w:t>
      </w:r>
    </w:p>
    <w:p w14:paraId="28BDC934" w14:textId="77777777" w:rsidR="00775A44" w:rsidRPr="007174DD" w:rsidRDefault="00775A44" w:rsidP="00775A44">
      <w:pPr>
        <w:jc w:val="both"/>
        <w:rPr>
          <w:szCs w:val="24"/>
        </w:rPr>
      </w:pPr>
      <w:r w:rsidRPr="007174DD">
        <w:rPr>
          <w:szCs w:val="24"/>
        </w:rPr>
        <w:lastRenderedPageBreak/>
        <w:t>Il s’agit d’analyser ici principalement les effets immédiats sur les acteurs concernés, et notamment les groupes cibles et bénéficiaires finaux, qui peuvent être raisonnablement attribués en partie ou en totalité au projet évalué. L'évaluateur examinera également si l’atteinte des objectifs et les résultats et impacts obtenus sont de nature à se maintenir, voire s’amplifier, dans la durée, et si oui, à quelle condition.</w:t>
      </w:r>
    </w:p>
    <w:p w14:paraId="13DCA4CA" w14:textId="77777777" w:rsidR="00775A44" w:rsidRPr="007174DD" w:rsidRDefault="00775A44" w:rsidP="00775A44">
      <w:pPr>
        <w:jc w:val="both"/>
        <w:rPr>
          <w:szCs w:val="24"/>
        </w:rPr>
      </w:pPr>
    </w:p>
    <w:p w14:paraId="12AA8525" w14:textId="77777777" w:rsidR="00775A44" w:rsidRPr="007174DD" w:rsidRDefault="00775A44" w:rsidP="00775A44">
      <w:pPr>
        <w:jc w:val="both"/>
        <w:rPr>
          <w:szCs w:val="24"/>
        </w:rPr>
      </w:pPr>
      <w:r w:rsidRPr="007174DD">
        <w:rPr>
          <w:szCs w:val="24"/>
          <w:u w:val="single"/>
        </w:rPr>
        <w:t>La durabilité du projet</w:t>
      </w:r>
      <w:r w:rsidRPr="007174DD">
        <w:rPr>
          <w:szCs w:val="24"/>
        </w:rPr>
        <w:t xml:space="preserve">. </w:t>
      </w:r>
    </w:p>
    <w:p w14:paraId="072D9704" w14:textId="5B6362F1" w:rsidR="00775A44" w:rsidRPr="00FF1609" w:rsidRDefault="00775A44" w:rsidP="00775A44">
      <w:pPr>
        <w:jc w:val="both"/>
        <w:rPr>
          <w:szCs w:val="24"/>
        </w:rPr>
      </w:pPr>
      <w:r w:rsidRPr="007174DD">
        <w:rPr>
          <w:szCs w:val="24"/>
        </w:rPr>
        <w:t>Il est attendu de cette évaluation des recommandations stratégiques, des propositions opérationnelles et des suggestions pour améliorer la réalisation d’un éventuel futur programme</w:t>
      </w:r>
      <w:r w:rsidR="009D249C">
        <w:rPr>
          <w:szCs w:val="24"/>
        </w:rPr>
        <w:t>.</w:t>
      </w:r>
      <w:r w:rsidR="00FF1609">
        <w:rPr>
          <w:szCs w:val="24"/>
        </w:rPr>
        <w:t xml:space="preserve"> Pour cela il faudra : </w:t>
      </w:r>
    </w:p>
    <w:p w14:paraId="6985C56A" w14:textId="77777777" w:rsidR="0086011A" w:rsidRPr="007174DD" w:rsidRDefault="0086011A" w:rsidP="00775A44">
      <w:pPr>
        <w:rPr>
          <w:szCs w:val="24"/>
        </w:rPr>
      </w:pPr>
    </w:p>
    <w:p w14:paraId="2DB23CB7" w14:textId="6E318B14" w:rsidR="00D24F22" w:rsidRPr="007174DD" w:rsidRDefault="00D24F22" w:rsidP="00D24F22">
      <w:pPr>
        <w:pStyle w:val="Paragraphedeliste"/>
        <w:numPr>
          <w:ilvl w:val="0"/>
          <w:numId w:val="22"/>
        </w:numPr>
        <w:rPr>
          <w:szCs w:val="24"/>
        </w:rPr>
      </w:pPr>
      <w:r w:rsidRPr="007174DD">
        <w:rPr>
          <w:b/>
          <w:bCs/>
          <w:szCs w:val="24"/>
        </w:rPr>
        <w:t xml:space="preserve">Evaluer les dynamiques régionales, et les synergies </w:t>
      </w:r>
      <w:r w:rsidR="0086011A" w:rsidRPr="007174DD">
        <w:rPr>
          <w:b/>
          <w:bCs/>
          <w:szCs w:val="24"/>
        </w:rPr>
        <w:t xml:space="preserve">créées </w:t>
      </w:r>
      <w:r w:rsidRPr="007174DD">
        <w:rPr>
          <w:b/>
          <w:bCs/>
          <w:szCs w:val="24"/>
        </w:rPr>
        <w:t>à travers les actions mise</w:t>
      </w:r>
      <w:r w:rsidR="004B46E1">
        <w:rPr>
          <w:b/>
          <w:bCs/>
          <w:szCs w:val="24"/>
        </w:rPr>
        <w:t>s</w:t>
      </w:r>
      <w:r w:rsidRPr="007174DD">
        <w:rPr>
          <w:b/>
          <w:bCs/>
          <w:szCs w:val="24"/>
        </w:rPr>
        <w:t xml:space="preserve"> en œuvre par le programme pour renforcer</w:t>
      </w:r>
      <w:r w:rsidR="0086011A" w:rsidRPr="007174DD">
        <w:rPr>
          <w:b/>
          <w:bCs/>
          <w:szCs w:val="24"/>
        </w:rPr>
        <w:t xml:space="preserve"> les capacités des </w:t>
      </w:r>
      <w:r w:rsidR="00440BC1" w:rsidRPr="007174DD">
        <w:rPr>
          <w:b/>
          <w:bCs/>
          <w:szCs w:val="24"/>
        </w:rPr>
        <w:t>C</w:t>
      </w:r>
      <w:r w:rsidR="0086011A" w:rsidRPr="007174DD">
        <w:rPr>
          <w:b/>
          <w:bCs/>
          <w:szCs w:val="24"/>
        </w:rPr>
        <w:t>L</w:t>
      </w:r>
      <w:r w:rsidR="0086011A" w:rsidRPr="007174DD">
        <w:rPr>
          <w:szCs w:val="24"/>
        </w:rPr>
        <w:t xml:space="preserve">, </w:t>
      </w:r>
      <w:r w:rsidRPr="007174DD">
        <w:rPr>
          <w:szCs w:val="24"/>
        </w:rPr>
        <w:t xml:space="preserve"> le dialogue et la coopération entre les collectivités locales et associations de collectivités locales. </w:t>
      </w:r>
    </w:p>
    <w:p w14:paraId="54F5C6F0" w14:textId="77777777" w:rsidR="0086011A" w:rsidRPr="007174DD" w:rsidRDefault="0086011A" w:rsidP="0086011A">
      <w:pPr>
        <w:rPr>
          <w:b/>
          <w:bCs/>
          <w:szCs w:val="24"/>
        </w:rPr>
      </w:pPr>
    </w:p>
    <w:p w14:paraId="0936AD39" w14:textId="04B45C7C" w:rsidR="0086011A" w:rsidRDefault="00D24F22" w:rsidP="0086011A">
      <w:pPr>
        <w:pStyle w:val="Paragraphedeliste"/>
        <w:numPr>
          <w:ilvl w:val="0"/>
          <w:numId w:val="22"/>
        </w:numPr>
        <w:rPr>
          <w:szCs w:val="24"/>
        </w:rPr>
      </w:pPr>
      <w:r w:rsidRPr="008D6FB2">
        <w:rPr>
          <w:b/>
          <w:bCs/>
          <w:szCs w:val="24"/>
        </w:rPr>
        <w:t xml:space="preserve">Faire émerger des questions vives sur les </w:t>
      </w:r>
      <w:r w:rsidR="008D6FB2" w:rsidRPr="008D6FB2">
        <w:rPr>
          <w:b/>
          <w:bCs/>
          <w:szCs w:val="24"/>
        </w:rPr>
        <w:t>2</w:t>
      </w:r>
      <w:r w:rsidR="0086011A" w:rsidRPr="008D6FB2">
        <w:rPr>
          <w:b/>
          <w:bCs/>
          <w:szCs w:val="24"/>
        </w:rPr>
        <w:t xml:space="preserve"> principaux axes d’intervention</w:t>
      </w:r>
      <w:r w:rsidRPr="008D6FB2">
        <w:rPr>
          <w:szCs w:val="24"/>
        </w:rPr>
        <w:t xml:space="preserve"> du programme</w:t>
      </w:r>
      <w:r w:rsidR="0086011A" w:rsidRPr="008D6FB2">
        <w:rPr>
          <w:szCs w:val="24"/>
        </w:rPr>
        <w:t> : les</w:t>
      </w:r>
      <w:r w:rsidRPr="008D6FB2">
        <w:rPr>
          <w:szCs w:val="24"/>
        </w:rPr>
        <w:t xml:space="preserve"> dialogues </w:t>
      </w:r>
      <w:r w:rsidR="0086011A" w:rsidRPr="008D6FB2">
        <w:rPr>
          <w:szCs w:val="24"/>
        </w:rPr>
        <w:t xml:space="preserve">régionaux, les </w:t>
      </w:r>
      <w:r w:rsidRPr="008D6FB2">
        <w:rPr>
          <w:szCs w:val="24"/>
        </w:rPr>
        <w:t xml:space="preserve"> projets </w:t>
      </w:r>
      <w:r w:rsidR="000C006F">
        <w:rPr>
          <w:szCs w:val="24"/>
        </w:rPr>
        <w:t>concrets</w:t>
      </w:r>
      <w:r w:rsidR="008D6FB2">
        <w:rPr>
          <w:szCs w:val="24"/>
        </w:rPr>
        <w:t>.</w:t>
      </w:r>
    </w:p>
    <w:p w14:paraId="1742E021" w14:textId="77777777" w:rsidR="002A2093" w:rsidRPr="002A2093" w:rsidRDefault="002A2093" w:rsidP="002A2093">
      <w:pPr>
        <w:rPr>
          <w:szCs w:val="24"/>
        </w:rPr>
      </w:pPr>
    </w:p>
    <w:p w14:paraId="52D2746B" w14:textId="6E7B7F65" w:rsidR="004358CC" w:rsidRPr="0098521B" w:rsidRDefault="00D24F22" w:rsidP="008D6FB2">
      <w:pPr>
        <w:pStyle w:val="Paragraphedeliste"/>
        <w:numPr>
          <w:ilvl w:val="0"/>
          <w:numId w:val="22"/>
        </w:numPr>
        <w:rPr>
          <w:b/>
          <w:bCs/>
          <w:szCs w:val="24"/>
        </w:rPr>
      </w:pPr>
      <w:r w:rsidRPr="007174DD">
        <w:rPr>
          <w:b/>
          <w:bCs/>
          <w:szCs w:val="24"/>
        </w:rPr>
        <w:t xml:space="preserve">Contribuer à la valorisation des résultats </w:t>
      </w:r>
      <w:r w:rsidR="0086011A" w:rsidRPr="007174DD">
        <w:rPr>
          <w:b/>
          <w:bCs/>
          <w:szCs w:val="24"/>
        </w:rPr>
        <w:t xml:space="preserve">intermédiaires </w:t>
      </w:r>
      <w:r w:rsidR="004B46E1">
        <w:rPr>
          <w:b/>
          <w:bCs/>
          <w:szCs w:val="24"/>
        </w:rPr>
        <w:t xml:space="preserve">et finaux </w:t>
      </w:r>
    </w:p>
    <w:p w14:paraId="7B2A98EB" w14:textId="77777777" w:rsidR="004358CC" w:rsidRPr="008D6FB2" w:rsidRDefault="004358CC" w:rsidP="008D6FB2">
      <w:pPr>
        <w:rPr>
          <w:b/>
          <w:bCs/>
          <w:szCs w:val="24"/>
        </w:rPr>
      </w:pPr>
    </w:p>
    <w:p w14:paraId="631FC997" w14:textId="1F0339F2" w:rsidR="00D24F22" w:rsidRDefault="00D24F22" w:rsidP="00D24F22">
      <w:pPr>
        <w:pStyle w:val="Paragraphedeliste"/>
        <w:numPr>
          <w:ilvl w:val="0"/>
          <w:numId w:val="22"/>
        </w:numPr>
        <w:rPr>
          <w:b/>
          <w:bCs/>
          <w:szCs w:val="24"/>
        </w:rPr>
      </w:pPr>
      <w:r w:rsidRPr="007174DD">
        <w:rPr>
          <w:b/>
          <w:bCs/>
          <w:szCs w:val="24"/>
        </w:rPr>
        <w:t>Produire des recommandations stratégiques fortes qui alimenteront la réflexion en cours sur la conception</w:t>
      </w:r>
      <w:r w:rsidR="0086011A" w:rsidRPr="007174DD">
        <w:rPr>
          <w:b/>
          <w:bCs/>
          <w:szCs w:val="24"/>
        </w:rPr>
        <w:t xml:space="preserve"> de prochaine phase </w:t>
      </w:r>
      <w:r w:rsidR="006067D4">
        <w:rPr>
          <w:b/>
          <w:bCs/>
          <w:szCs w:val="24"/>
        </w:rPr>
        <w:t>et plus généralement sur la réplicabilité du SGA3 et les points de vigilance.</w:t>
      </w:r>
    </w:p>
    <w:p w14:paraId="06AAFFA3" w14:textId="030F25C8" w:rsidR="0098521B" w:rsidRDefault="0098521B" w:rsidP="0098521B">
      <w:pPr>
        <w:pStyle w:val="Paragraphedeliste"/>
        <w:jc w:val="both"/>
        <w:rPr>
          <w:b/>
          <w:bCs/>
          <w:szCs w:val="24"/>
        </w:rPr>
      </w:pPr>
    </w:p>
    <w:p w14:paraId="358D331D" w14:textId="772926F2" w:rsidR="0098521B" w:rsidRDefault="002A2093" w:rsidP="0098521B">
      <w:pPr>
        <w:pStyle w:val="Paragraphedeliste"/>
        <w:jc w:val="both"/>
        <w:rPr>
          <w:b/>
          <w:bCs/>
          <w:szCs w:val="24"/>
        </w:rPr>
      </w:pPr>
      <w:r>
        <w:rPr>
          <w:b/>
          <w:bCs/>
          <w:noProof/>
          <w:szCs w:val="24"/>
        </w:rPr>
        <mc:AlternateContent>
          <mc:Choice Requires="wps">
            <w:drawing>
              <wp:anchor distT="0" distB="0" distL="114300" distR="114300" simplePos="0" relativeHeight="251659775" behindDoc="0" locked="0" layoutInCell="1" allowOverlap="1" wp14:anchorId="77ABC964" wp14:editId="6FA5E78C">
                <wp:simplePos x="0" y="0"/>
                <wp:positionH relativeFrom="margin">
                  <wp:align>left</wp:align>
                </wp:positionH>
                <wp:positionV relativeFrom="paragraph">
                  <wp:posOffset>102870</wp:posOffset>
                </wp:positionV>
                <wp:extent cx="5953125" cy="1809750"/>
                <wp:effectExtent l="0" t="0" r="28575" b="19050"/>
                <wp:wrapNone/>
                <wp:docPr id="199067110" name="Rectangle 1"/>
                <wp:cNvGraphicFramePr/>
                <a:graphic xmlns:a="http://schemas.openxmlformats.org/drawingml/2006/main">
                  <a:graphicData uri="http://schemas.microsoft.com/office/word/2010/wordprocessingShape">
                    <wps:wsp>
                      <wps:cNvSpPr/>
                      <wps:spPr>
                        <a:xfrm>
                          <a:off x="0" y="0"/>
                          <a:ext cx="5953125" cy="18097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8F7DAAF" w14:textId="006640F1" w:rsidR="0098521B" w:rsidRPr="0098521B" w:rsidRDefault="0098521B" w:rsidP="002A2093">
                            <w:pPr>
                              <w:pStyle w:val="Paragraphedeliste"/>
                              <w:ind w:left="142"/>
                              <w:jc w:val="both"/>
                              <w:rPr>
                                <w:szCs w:val="24"/>
                              </w:rPr>
                            </w:pPr>
                            <w:r w:rsidRPr="0098521B">
                              <w:rPr>
                                <w:b/>
                                <w:bCs/>
                                <w:szCs w:val="24"/>
                              </w:rPr>
                              <w:t>Une analyse particulière sera attendu des projets concrets exécuter dans les 8 collectivités locales des pays pilotes </w:t>
                            </w:r>
                            <w:r w:rsidRPr="0098521B">
                              <w:rPr>
                                <w:szCs w:val="24"/>
                              </w:rPr>
                              <w:t>: commune de Gitega (Burundi), Commune de la Lokossa (Bénin), commune urbaine d’Antananarivo (</w:t>
                            </w:r>
                            <w:r w:rsidR="00CA16A9">
                              <w:rPr>
                                <w:szCs w:val="24"/>
                              </w:rPr>
                              <w:t>M</w:t>
                            </w:r>
                            <w:r w:rsidRPr="0098521B">
                              <w:rPr>
                                <w:szCs w:val="24"/>
                              </w:rPr>
                              <w:t xml:space="preserve">adagascar), ville de Tunis (Tunisie), à Phnom Penh (Cambodge), à </w:t>
                            </w:r>
                            <w:proofErr w:type="spellStart"/>
                            <w:r w:rsidRPr="0098521B">
                              <w:rPr>
                                <w:szCs w:val="24"/>
                              </w:rPr>
                              <w:t>Luan</w:t>
                            </w:r>
                            <w:proofErr w:type="spellEnd"/>
                            <w:r w:rsidRPr="0098521B">
                              <w:rPr>
                                <w:szCs w:val="24"/>
                              </w:rPr>
                              <w:t xml:space="preserve"> </w:t>
                            </w:r>
                            <w:proofErr w:type="spellStart"/>
                            <w:r w:rsidRPr="0098521B">
                              <w:rPr>
                                <w:szCs w:val="24"/>
                              </w:rPr>
                              <w:t>Prabang</w:t>
                            </w:r>
                            <w:proofErr w:type="spellEnd"/>
                            <w:r w:rsidRPr="0098521B">
                              <w:rPr>
                                <w:szCs w:val="24"/>
                              </w:rPr>
                              <w:t xml:space="preserve"> (Laos), la commune de Ngaoundere</w:t>
                            </w:r>
                            <w:r w:rsidR="00CA16A9">
                              <w:rPr>
                                <w:szCs w:val="24"/>
                              </w:rPr>
                              <w:br/>
                            </w:r>
                            <w:r w:rsidRPr="0098521B">
                              <w:rPr>
                                <w:szCs w:val="24"/>
                              </w:rPr>
                              <w:t xml:space="preserve"> ( Cameroun), Ogou1 (Togo). Cette analyse devra  essentiellement porter sur la maîtrise d’ouvrage communale :</w:t>
                            </w:r>
                            <w:r w:rsidR="002A2093">
                              <w:rPr>
                                <w:szCs w:val="24"/>
                              </w:rPr>
                              <w:t xml:space="preserve"> </w:t>
                            </w:r>
                            <w:r w:rsidRPr="0098521B">
                              <w:rPr>
                                <w:szCs w:val="24"/>
                              </w:rPr>
                              <w:t xml:space="preserve">le renforcement des capacités et de l’autonomie des collectivités locales dans la mise en œuvre de leurs compétences. Il s’agira également </w:t>
                            </w:r>
                            <w:r w:rsidR="002A2093">
                              <w:rPr>
                                <w:szCs w:val="24"/>
                              </w:rPr>
                              <w:t xml:space="preserve">au moment de </w:t>
                            </w:r>
                            <w:r w:rsidRPr="0098521B">
                              <w:rPr>
                                <w:szCs w:val="24"/>
                              </w:rPr>
                              <w:t xml:space="preserve">l’évaluation </w:t>
                            </w:r>
                            <w:r w:rsidR="002A2093">
                              <w:rPr>
                                <w:szCs w:val="24"/>
                              </w:rPr>
                              <w:t xml:space="preserve">finale du programme </w:t>
                            </w:r>
                            <w:r w:rsidRPr="0098521B">
                              <w:rPr>
                                <w:szCs w:val="24"/>
                              </w:rPr>
                              <w:t>d’analyser les enjeux de la réplicabilité de</w:t>
                            </w:r>
                            <w:r w:rsidR="00FB1497">
                              <w:rPr>
                                <w:szCs w:val="24"/>
                              </w:rPr>
                              <w:t xml:space="preserve"> ce</w:t>
                            </w:r>
                            <w:r w:rsidRPr="0098521B">
                              <w:rPr>
                                <w:szCs w:val="24"/>
                              </w:rPr>
                              <w:t>s projets concrets pilote</w:t>
                            </w:r>
                            <w:r w:rsidR="00FB1497">
                              <w:rPr>
                                <w:szCs w:val="24"/>
                              </w:rPr>
                              <w:t xml:space="preserve">s </w:t>
                            </w:r>
                            <w:r w:rsidRPr="0098521B">
                              <w:rPr>
                                <w:szCs w:val="24"/>
                              </w:rPr>
                              <w:t>et leçons apprises.</w:t>
                            </w:r>
                          </w:p>
                          <w:p w14:paraId="533628DA" w14:textId="77777777" w:rsidR="0098521B" w:rsidRDefault="0098521B" w:rsidP="009852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BC964" id="Rectangle 1" o:spid="_x0000_s1027" style="position:absolute;left:0;text-align:left;margin-left:0;margin-top:8.1pt;width:468.75pt;height:142.5pt;z-index:25165977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" fillcolor="#30a7dd [2164]" strokecolor="#156082 [3204]" strokeweight=".5pt">
                <v:fill color2="#1e8bbd [2612]" rotate="t" colors="0 #9cafbf;.5 #8fa3b4;1 #7a95ab" focus="100%" type="gradient">
                  <o:fill v:ext="view" type="gradientUnscaled"/>
                </v:fill>
                <v:textbox>
                  <w:txbxContent>
                    <w:p w14:paraId="68F7DAAF" w14:textId="006640F1" w:rsidR="0098521B" w:rsidRPr="0098521B" w:rsidRDefault="0098521B" w:rsidP="002A2093">
                      <w:pPr>
                        <w:pStyle w:val="Paragraphedeliste"/>
                        <w:ind w:left="142"/>
                        <w:jc w:val="both"/>
                        <w:rPr>
                          <w:szCs w:val="24"/>
                        </w:rPr>
                      </w:pPr>
                      <w:r w:rsidRPr="0098521B">
                        <w:rPr>
                          <w:b/>
                          <w:bCs/>
                          <w:szCs w:val="24"/>
                        </w:rPr>
                        <w:t>Une analyse particulière sera attendu des projets concrets exécuter dans les 8 collectivités locales des pays pilotes </w:t>
                      </w:r>
                      <w:r w:rsidRPr="0098521B">
                        <w:rPr>
                          <w:szCs w:val="24"/>
                        </w:rPr>
                        <w:t>: commune de Gitega (Burundi), Commune de la Lokossa (Bénin), commune urbaine d’Antananarivo (</w:t>
                      </w:r>
                      <w:r w:rsidR="00CA16A9">
                        <w:rPr>
                          <w:szCs w:val="24"/>
                        </w:rPr>
                        <w:t>M</w:t>
                      </w:r>
                      <w:r w:rsidRPr="0098521B">
                        <w:rPr>
                          <w:szCs w:val="24"/>
                        </w:rPr>
                        <w:t xml:space="preserve">adagascar), ville de Tunis (Tunisie), à Phnom Penh (Cambodge), à </w:t>
                      </w:r>
                      <w:proofErr w:type="spellStart"/>
                      <w:r w:rsidRPr="0098521B">
                        <w:rPr>
                          <w:szCs w:val="24"/>
                        </w:rPr>
                        <w:t>Luan</w:t>
                      </w:r>
                      <w:proofErr w:type="spellEnd"/>
                      <w:r w:rsidRPr="0098521B">
                        <w:rPr>
                          <w:szCs w:val="24"/>
                        </w:rPr>
                        <w:t xml:space="preserve"> </w:t>
                      </w:r>
                      <w:proofErr w:type="spellStart"/>
                      <w:r w:rsidRPr="0098521B">
                        <w:rPr>
                          <w:szCs w:val="24"/>
                        </w:rPr>
                        <w:t>Prabang</w:t>
                      </w:r>
                      <w:proofErr w:type="spellEnd"/>
                      <w:r w:rsidRPr="0098521B">
                        <w:rPr>
                          <w:szCs w:val="24"/>
                        </w:rPr>
                        <w:t xml:space="preserve"> (Laos), la commune de Ngaoundere</w:t>
                      </w:r>
                      <w:r w:rsidR="00CA16A9">
                        <w:rPr>
                          <w:szCs w:val="24"/>
                        </w:rPr>
                        <w:br/>
                      </w:r>
                      <w:r w:rsidRPr="0098521B">
                        <w:rPr>
                          <w:szCs w:val="24"/>
                        </w:rPr>
                        <w:t xml:space="preserve"> ( Cameroun), Ogou1 (Togo). Cette analyse devra  essentiellement porter sur la maîtrise d’ouvrage communale :</w:t>
                      </w:r>
                      <w:r w:rsidR="002A2093">
                        <w:rPr>
                          <w:szCs w:val="24"/>
                        </w:rPr>
                        <w:t xml:space="preserve"> </w:t>
                      </w:r>
                      <w:r w:rsidRPr="0098521B">
                        <w:rPr>
                          <w:szCs w:val="24"/>
                        </w:rPr>
                        <w:t xml:space="preserve">le renforcement des capacités et de l’autonomie des collectivités locales dans la mise en œuvre de leurs compétences. Il s’agira également </w:t>
                      </w:r>
                      <w:r w:rsidR="002A2093">
                        <w:rPr>
                          <w:szCs w:val="24"/>
                        </w:rPr>
                        <w:t xml:space="preserve">au moment de </w:t>
                      </w:r>
                      <w:r w:rsidRPr="0098521B">
                        <w:rPr>
                          <w:szCs w:val="24"/>
                        </w:rPr>
                        <w:t xml:space="preserve">l’évaluation </w:t>
                      </w:r>
                      <w:r w:rsidR="002A2093">
                        <w:rPr>
                          <w:szCs w:val="24"/>
                        </w:rPr>
                        <w:t xml:space="preserve">finale du programme </w:t>
                      </w:r>
                      <w:r w:rsidRPr="0098521B">
                        <w:rPr>
                          <w:szCs w:val="24"/>
                        </w:rPr>
                        <w:t>d’analyser les enjeux de la réplicabilité de</w:t>
                      </w:r>
                      <w:r w:rsidR="00FB1497">
                        <w:rPr>
                          <w:szCs w:val="24"/>
                        </w:rPr>
                        <w:t xml:space="preserve"> ce</w:t>
                      </w:r>
                      <w:r w:rsidRPr="0098521B">
                        <w:rPr>
                          <w:szCs w:val="24"/>
                        </w:rPr>
                        <w:t>s projets concrets pilote</w:t>
                      </w:r>
                      <w:r w:rsidR="00FB1497">
                        <w:rPr>
                          <w:szCs w:val="24"/>
                        </w:rPr>
                        <w:t xml:space="preserve">s </w:t>
                      </w:r>
                      <w:r w:rsidRPr="0098521B">
                        <w:rPr>
                          <w:szCs w:val="24"/>
                        </w:rPr>
                        <w:t>et leçons apprises.</w:t>
                      </w:r>
                    </w:p>
                    <w:p w14:paraId="533628DA" w14:textId="77777777" w:rsidR="0098521B" w:rsidRDefault="0098521B" w:rsidP="0098521B">
                      <w:pPr>
                        <w:jc w:val="center"/>
                      </w:pPr>
                    </w:p>
                  </w:txbxContent>
                </v:textbox>
                <w10:wrap anchorx="margin"/>
              </v:rect>
            </w:pict>
          </mc:Fallback>
        </mc:AlternateContent>
      </w:r>
    </w:p>
    <w:p w14:paraId="4BE5AE1E" w14:textId="76D34584" w:rsidR="0098521B" w:rsidRPr="007174DD" w:rsidRDefault="0098521B" w:rsidP="00D24F22">
      <w:pPr>
        <w:pStyle w:val="Paragraphedeliste"/>
        <w:numPr>
          <w:ilvl w:val="0"/>
          <w:numId w:val="22"/>
        </w:numPr>
        <w:rPr>
          <w:b/>
          <w:bCs/>
          <w:szCs w:val="24"/>
        </w:rPr>
      </w:pPr>
    </w:p>
    <w:p w14:paraId="5585999E" w14:textId="77777777" w:rsidR="00D24F22" w:rsidRPr="007174DD" w:rsidRDefault="00D24F22" w:rsidP="00D24F22">
      <w:pPr>
        <w:rPr>
          <w:szCs w:val="24"/>
        </w:rPr>
      </w:pPr>
    </w:p>
    <w:p w14:paraId="5AB2969D" w14:textId="4C101298" w:rsidR="00432667" w:rsidRPr="007174DD" w:rsidRDefault="00432667" w:rsidP="008B0A88">
      <w:pPr>
        <w:pStyle w:val="Titre1"/>
        <w:numPr>
          <w:ilvl w:val="0"/>
          <w:numId w:val="31"/>
        </w:numPr>
        <w:rPr>
          <w:rFonts w:ascii="Times New Roman" w:hAnsi="Times New Roman" w:cs="Times New Roman"/>
          <w:sz w:val="24"/>
          <w:szCs w:val="24"/>
        </w:rPr>
      </w:pPr>
      <w:bookmarkStart w:id="17" w:name="_Toc167895122"/>
      <w:r w:rsidRPr="007174DD">
        <w:rPr>
          <w:rFonts w:ascii="Times New Roman" w:hAnsi="Times New Roman" w:cs="Times New Roman"/>
          <w:sz w:val="24"/>
          <w:szCs w:val="24"/>
        </w:rPr>
        <w:t>Méthode</w:t>
      </w:r>
      <w:bookmarkEnd w:id="17"/>
    </w:p>
    <w:p w14:paraId="1048F0B6" w14:textId="77777777" w:rsidR="00432667" w:rsidRPr="007174DD" w:rsidRDefault="00432667" w:rsidP="00432667">
      <w:pPr>
        <w:rPr>
          <w:szCs w:val="24"/>
        </w:rPr>
      </w:pPr>
    </w:p>
    <w:p w14:paraId="48FD2DBB" w14:textId="77777777" w:rsidR="0098521B" w:rsidRDefault="0098521B" w:rsidP="00432667">
      <w:pPr>
        <w:jc w:val="both"/>
        <w:rPr>
          <w:szCs w:val="24"/>
        </w:rPr>
      </w:pPr>
    </w:p>
    <w:p w14:paraId="56D10D95" w14:textId="77777777" w:rsidR="0098521B" w:rsidRDefault="0098521B" w:rsidP="00432667">
      <w:pPr>
        <w:jc w:val="both"/>
        <w:rPr>
          <w:szCs w:val="24"/>
        </w:rPr>
      </w:pPr>
    </w:p>
    <w:p w14:paraId="1CBF1D08" w14:textId="77777777" w:rsidR="002A2093" w:rsidRDefault="002A2093" w:rsidP="00432667">
      <w:pPr>
        <w:jc w:val="both"/>
        <w:rPr>
          <w:szCs w:val="24"/>
        </w:rPr>
      </w:pPr>
    </w:p>
    <w:p w14:paraId="5193FCCB" w14:textId="77777777" w:rsidR="002A2093" w:rsidRDefault="002A2093" w:rsidP="00432667">
      <w:pPr>
        <w:jc w:val="both"/>
        <w:rPr>
          <w:szCs w:val="24"/>
        </w:rPr>
      </w:pPr>
    </w:p>
    <w:p w14:paraId="0AA17912" w14:textId="77777777" w:rsidR="002A2093" w:rsidRDefault="002A2093" w:rsidP="00432667">
      <w:pPr>
        <w:jc w:val="both"/>
        <w:rPr>
          <w:szCs w:val="24"/>
        </w:rPr>
      </w:pPr>
    </w:p>
    <w:p w14:paraId="59472A44" w14:textId="3E1AA52D" w:rsidR="00432667" w:rsidRDefault="00432667" w:rsidP="00432667">
      <w:pPr>
        <w:jc w:val="both"/>
        <w:rPr>
          <w:szCs w:val="24"/>
        </w:rPr>
      </w:pPr>
      <w:r w:rsidRPr="007174DD">
        <w:rPr>
          <w:szCs w:val="24"/>
        </w:rPr>
        <w:t xml:space="preserve">Il s’agira d’articuler les deux logiques d’évaluation : assurer une fonction de bilan intermédiaire, </w:t>
      </w:r>
      <w:r w:rsidR="004B46E1">
        <w:rPr>
          <w:szCs w:val="24"/>
        </w:rPr>
        <w:t xml:space="preserve">et final, </w:t>
      </w:r>
      <w:r w:rsidRPr="007174DD">
        <w:rPr>
          <w:szCs w:val="24"/>
        </w:rPr>
        <w:t>d’arrêt sur image pour faire le point et stabiliser en vérifiant la conformité, d’une part et d’autre part, renforcer l’exécution de la fin du programme et alimenter la réf</w:t>
      </w:r>
      <w:r w:rsidR="00410B34">
        <w:rPr>
          <w:szCs w:val="24"/>
        </w:rPr>
        <w:t>lex</w:t>
      </w:r>
      <w:r w:rsidRPr="007174DD">
        <w:rPr>
          <w:szCs w:val="24"/>
        </w:rPr>
        <w:t xml:space="preserve">ion de la construction </w:t>
      </w:r>
      <w:r w:rsidR="00410B34" w:rsidRPr="007174DD">
        <w:rPr>
          <w:szCs w:val="24"/>
        </w:rPr>
        <w:t>de la prochaine phase</w:t>
      </w:r>
      <w:r w:rsidRPr="007174DD">
        <w:rPr>
          <w:szCs w:val="24"/>
        </w:rPr>
        <w:t>.</w:t>
      </w:r>
    </w:p>
    <w:p w14:paraId="15994519" w14:textId="77777777" w:rsidR="00410B34" w:rsidRPr="007174DD" w:rsidRDefault="00410B34" w:rsidP="00432667">
      <w:pPr>
        <w:jc w:val="both"/>
        <w:rPr>
          <w:szCs w:val="24"/>
        </w:rPr>
      </w:pPr>
    </w:p>
    <w:p w14:paraId="71C64806" w14:textId="65170F33" w:rsidR="002B3892" w:rsidRPr="007174DD" w:rsidRDefault="00432667" w:rsidP="002B3892">
      <w:pPr>
        <w:jc w:val="both"/>
        <w:rPr>
          <w:szCs w:val="24"/>
        </w:rPr>
      </w:pPr>
      <w:r w:rsidRPr="007174DD">
        <w:rPr>
          <w:szCs w:val="24"/>
        </w:rPr>
        <w:t xml:space="preserve">Dans sa proposition technique, le consultant devra définir précisément le champ et les objets d'évaluation, l'identification des finalités et des enjeux de l'évaluation, exposer sa manière de se questionner </w:t>
      </w:r>
      <w:r w:rsidR="00505171">
        <w:rPr>
          <w:szCs w:val="24"/>
        </w:rPr>
        <w:t xml:space="preserve">et ce </w:t>
      </w:r>
      <w:r w:rsidR="00505171" w:rsidRPr="007174DD">
        <w:rPr>
          <w:szCs w:val="24"/>
        </w:rPr>
        <w:t>faisant son positionnement sur l’intervention qu’il souhaite entreprendre, sa réflexion sur le système de</w:t>
      </w:r>
      <w:r w:rsidR="00505171">
        <w:rPr>
          <w:szCs w:val="24"/>
        </w:rPr>
        <w:t xml:space="preserve"> </w:t>
      </w:r>
      <w:r w:rsidR="002B3892" w:rsidRPr="007174DD">
        <w:rPr>
          <w:szCs w:val="24"/>
        </w:rPr>
        <w:t>références utilisé</w:t>
      </w:r>
      <w:r w:rsidR="002B3892">
        <w:rPr>
          <w:szCs w:val="24"/>
        </w:rPr>
        <w:t>es</w:t>
      </w:r>
      <w:r w:rsidR="002B3892" w:rsidRPr="007174DD">
        <w:rPr>
          <w:szCs w:val="24"/>
        </w:rPr>
        <w:t xml:space="preserve"> et enfin détailler le dispositif qu’il propose à partir du ou des modèles d’évaluation mobilisés et de la méthode d'investigation ou d’enquête choisie.</w:t>
      </w:r>
    </w:p>
    <w:p w14:paraId="5EC60D1B" w14:textId="77777777" w:rsidR="002B3892" w:rsidRPr="00505171" w:rsidRDefault="002B3892" w:rsidP="002B3892">
      <w:pPr>
        <w:jc w:val="both"/>
        <w:rPr>
          <w:b/>
          <w:bCs/>
          <w:szCs w:val="24"/>
          <w:highlight w:val="yellow"/>
        </w:rPr>
      </w:pPr>
    </w:p>
    <w:p w14:paraId="6EF1B99F" w14:textId="38993DD7" w:rsidR="002B3892" w:rsidRPr="00505171" w:rsidRDefault="002B3892" w:rsidP="002B3892">
      <w:pPr>
        <w:jc w:val="both"/>
        <w:rPr>
          <w:b/>
          <w:bCs/>
          <w:szCs w:val="24"/>
        </w:rPr>
      </w:pPr>
      <w:r w:rsidRPr="00505171">
        <w:rPr>
          <w:b/>
          <w:bCs/>
          <w:szCs w:val="24"/>
        </w:rPr>
        <w:t xml:space="preserve">La méthodologie et les </w:t>
      </w:r>
      <w:r w:rsidR="00410B34">
        <w:rPr>
          <w:b/>
          <w:bCs/>
          <w:szCs w:val="24"/>
        </w:rPr>
        <w:t>étapes</w:t>
      </w:r>
      <w:r w:rsidRPr="00505171">
        <w:rPr>
          <w:b/>
          <w:bCs/>
          <w:szCs w:val="24"/>
        </w:rPr>
        <w:t xml:space="preserve"> d’évaluation proposées ici sont à titre indicatif. L’évaluateur peut faire d’autres propositions d’approches et d’outils méthodologiques.</w:t>
      </w:r>
    </w:p>
    <w:p w14:paraId="1698E4D8" w14:textId="77777777" w:rsidR="00505171" w:rsidRPr="007174DD" w:rsidRDefault="00505171" w:rsidP="002B3892">
      <w:pPr>
        <w:jc w:val="both"/>
        <w:rPr>
          <w:szCs w:val="24"/>
        </w:rPr>
      </w:pPr>
    </w:p>
    <w:p w14:paraId="452422F2" w14:textId="77777777" w:rsidR="00432667" w:rsidRPr="007174DD" w:rsidRDefault="00432667" w:rsidP="00432667">
      <w:pPr>
        <w:jc w:val="both"/>
        <w:rPr>
          <w:szCs w:val="24"/>
        </w:rPr>
      </w:pPr>
      <w:r w:rsidRPr="007174DD">
        <w:rPr>
          <w:szCs w:val="24"/>
        </w:rPr>
        <w:t>Etape 1 : Analyse des outils produits</w:t>
      </w:r>
    </w:p>
    <w:p w14:paraId="165D8A0A" w14:textId="77777777" w:rsidR="00432667" w:rsidRPr="007174DD" w:rsidRDefault="00432667" w:rsidP="00432667">
      <w:pPr>
        <w:jc w:val="both"/>
        <w:rPr>
          <w:szCs w:val="24"/>
        </w:rPr>
      </w:pPr>
    </w:p>
    <w:p w14:paraId="1D85593B" w14:textId="77777777" w:rsidR="00432667" w:rsidRPr="007174DD" w:rsidRDefault="00432667" w:rsidP="00432667">
      <w:pPr>
        <w:jc w:val="both"/>
        <w:rPr>
          <w:szCs w:val="24"/>
        </w:rPr>
      </w:pPr>
      <w:r w:rsidRPr="007174DD">
        <w:rPr>
          <w:szCs w:val="24"/>
        </w:rPr>
        <w:lastRenderedPageBreak/>
        <w:t>Analyser les différents outils et documents relatifs au projet qui ont été produits : rapports d’activités, rapports intermédiaires, rapports financiers, rapports d’étude, documents de formation, document du projet….</w:t>
      </w:r>
    </w:p>
    <w:p w14:paraId="1FBCFDBC" w14:textId="77777777" w:rsidR="00432667" w:rsidRPr="007174DD" w:rsidRDefault="00432667" w:rsidP="00432667">
      <w:pPr>
        <w:jc w:val="both"/>
        <w:rPr>
          <w:szCs w:val="24"/>
        </w:rPr>
      </w:pPr>
    </w:p>
    <w:p w14:paraId="305ECBD9" w14:textId="77777777" w:rsidR="00432667" w:rsidRDefault="00432667" w:rsidP="00432667">
      <w:pPr>
        <w:jc w:val="both"/>
        <w:rPr>
          <w:szCs w:val="24"/>
        </w:rPr>
      </w:pPr>
      <w:r w:rsidRPr="007174DD">
        <w:rPr>
          <w:szCs w:val="24"/>
        </w:rPr>
        <w:t>Etape 2 : Phase préparatoire de l’évaluation</w:t>
      </w:r>
    </w:p>
    <w:p w14:paraId="1ED7EDFD" w14:textId="77777777" w:rsidR="001A2096" w:rsidRPr="007174DD" w:rsidRDefault="001A2096" w:rsidP="00432667">
      <w:pPr>
        <w:jc w:val="both"/>
        <w:rPr>
          <w:szCs w:val="24"/>
        </w:rPr>
      </w:pPr>
    </w:p>
    <w:p w14:paraId="3FBF004D" w14:textId="77777777" w:rsidR="00432667" w:rsidRPr="007174DD" w:rsidRDefault="00432667" w:rsidP="00432667">
      <w:pPr>
        <w:jc w:val="both"/>
        <w:rPr>
          <w:szCs w:val="24"/>
        </w:rPr>
      </w:pPr>
      <w:r w:rsidRPr="007174DD">
        <w:rPr>
          <w:szCs w:val="24"/>
        </w:rPr>
        <w:t>Rédaction d’une note méthodologique présentant les enjeux qui mériteront une investigation particulière, le questionnaire d’évaluation, les cibles, la liste des personnes à rencontrer la grille d’entretien.</w:t>
      </w:r>
    </w:p>
    <w:p w14:paraId="1D7B53DB" w14:textId="77777777" w:rsidR="00432667" w:rsidRPr="007174DD" w:rsidRDefault="00432667" w:rsidP="00432667">
      <w:pPr>
        <w:jc w:val="both"/>
        <w:rPr>
          <w:szCs w:val="24"/>
        </w:rPr>
      </w:pPr>
      <w:r w:rsidRPr="007174DD">
        <w:rPr>
          <w:szCs w:val="24"/>
        </w:rPr>
        <w:t>Validation de la note par  l’AIMF.</w:t>
      </w:r>
    </w:p>
    <w:p w14:paraId="1F4CAFC8" w14:textId="77777777" w:rsidR="00432667" w:rsidRPr="007174DD" w:rsidRDefault="00432667" w:rsidP="00432667">
      <w:pPr>
        <w:jc w:val="both"/>
        <w:rPr>
          <w:szCs w:val="24"/>
        </w:rPr>
      </w:pPr>
    </w:p>
    <w:p w14:paraId="5C006079" w14:textId="7515E8D5" w:rsidR="00432667" w:rsidRPr="000C006F" w:rsidRDefault="00432667" w:rsidP="00432667">
      <w:pPr>
        <w:jc w:val="both"/>
        <w:rPr>
          <w:szCs w:val="24"/>
        </w:rPr>
      </w:pPr>
      <w:r w:rsidRPr="000C006F">
        <w:rPr>
          <w:szCs w:val="24"/>
        </w:rPr>
        <w:t xml:space="preserve">Etape 3 : Phase </w:t>
      </w:r>
      <w:r w:rsidR="000C006F" w:rsidRPr="000C006F">
        <w:rPr>
          <w:szCs w:val="24"/>
        </w:rPr>
        <w:t xml:space="preserve">entretien </w:t>
      </w:r>
    </w:p>
    <w:p w14:paraId="1581F37A" w14:textId="77777777" w:rsidR="00432667" w:rsidRPr="000C006F" w:rsidRDefault="00432667" w:rsidP="00432667">
      <w:pPr>
        <w:jc w:val="both"/>
        <w:rPr>
          <w:szCs w:val="24"/>
        </w:rPr>
      </w:pPr>
    </w:p>
    <w:p w14:paraId="356649EA" w14:textId="6E71C8B8" w:rsidR="00432667" w:rsidRPr="007174DD" w:rsidRDefault="000C006F" w:rsidP="00432667">
      <w:pPr>
        <w:jc w:val="both"/>
        <w:rPr>
          <w:szCs w:val="24"/>
        </w:rPr>
      </w:pPr>
      <w:r>
        <w:rPr>
          <w:szCs w:val="24"/>
        </w:rPr>
        <w:t>A</w:t>
      </w:r>
      <w:r w:rsidR="00432667" w:rsidRPr="000C006F">
        <w:rPr>
          <w:szCs w:val="24"/>
        </w:rPr>
        <w:t>nalyse participative des activités réalisées avec les</w:t>
      </w:r>
      <w:r w:rsidR="004B46E1" w:rsidRPr="000C006F">
        <w:rPr>
          <w:szCs w:val="24"/>
        </w:rPr>
        <w:t xml:space="preserve"> partenaires et</w:t>
      </w:r>
      <w:r w:rsidR="00432667" w:rsidRPr="000C006F">
        <w:rPr>
          <w:szCs w:val="24"/>
        </w:rPr>
        <w:t xml:space="preserve"> bénéficiaires</w:t>
      </w:r>
      <w:r w:rsidR="004B46E1" w:rsidRPr="000C006F">
        <w:rPr>
          <w:szCs w:val="24"/>
        </w:rPr>
        <w:t xml:space="preserve"> </w:t>
      </w:r>
      <w:r w:rsidR="00432667" w:rsidRPr="000C006F">
        <w:rPr>
          <w:szCs w:val="24"/>
        </w:rPr>
        <w:t>du projet. Entretien</w:t>
      </w:r>
      <w:r>
        <w:rPr>
          <w:szCs w:val="24"/>
        </w:rPr>
        <w:t>s</w:t>
      </w:r>
      <w:r w:rsidR="00432667" w:rsidRPr="000C006F">
        <w:rPr>
          <w:szCs w:val="24"/>
        </w:rPr>
        <w:t xml:space="preserve"> à partir d’un questionnaire auprès des différents partenaires.</w:t>
      </w:r>
      <w:r w:rsidR="00432667" w:rsidRPr="007174DD">
        <w:rPr>
          <w:szCs w:val="24"/>
        </w:rPr>
        <w:t xml:space="preserve"> </w:t>
      </w:r>
      <w:r>
        <w:rPr>
          <w:szCs w:val="24"/>
        </w:rPr>
        <w:t>Des déplacements pourront être envisagés lors de l’évaluation finale dans certaines des 8  collectivités locales mettant en œuvre les projets opérationnels.</w:t>
      </w:r>
    </w:p>
    <w:p w14:paraId="302E717F" w14:textId="77777777" w:rsidR="00432667" w:rsidRPr="007174DD" w:rsidRDefault="00432667" w:rsidP="00432667">
      <w:pPr>
        <w:jc w:val="both"/>
        <w:rPr>
          <w:szCs w:val="24"/>
        </w:rPr>
      </w:pPr>
    </w:p>
    <w:p w14:paraId="00C4E6AA" w14:textId="0D97CD94" w:rsidR="00432667" w:rsidRPr="007174DD" w:rsidRDefault="00432667" w:rsidP="00432667">
      <w:pPr>
        <w:jc w:val="both"/>
        <w:rPr>
          <w:szCs w:val="24"/>
        </w:rPr>
      </w:pPr>
      <w:r w:rsidRPr="007174DD">
        <w:rPr>
          <w:szCs w:val="24"/>
        </w:rPr>
        <w:t>Etape 4 : Rapport provisoire</w:t>
      </w:r>
      <w:r w:rsidR="001A2096">
        <w:rPr>
          <w:szCs w:val="24"/>
        </w:rPr>
        <w:t xml:space="preserve"> ( intermédiaire / final)</w:t>
      </w:r>
    </w:p>
    <w:p w14:paraId="1CD1ACDA" w14:textId="77777777" w:rsidR="00432667" w:rsidRPr="007174DD" w:rsidRDefault="00432667" w:rsidP="00432667">
      <w:pPr>
        <w:jc w:val="both"/>
        <w:rPr>
          <w:szCs w:val="24"/>
        </w:rPr>
      </w:pPr>
    </w:p>
    <w:p w14:paraId="32E0D74D" w14:textId="794B7E23" w:rsidR="00432667" w:rsidRPr="007174DD" w:rsidRDefault="00432667" w:rsidP="00432667">
      <w:pPr>
        <w:jc w:val="both"/>
        <w:rPr>
          <w:szCs w:val="24"/>
        </w:rPr>
      </w:pPr>
      <w:r w:rsidRPr="007174DD">
        <w:rPr>
          <w:szCs w:val="24"/>
        </w:rPr>
        <w:t>Etape 5 : Rapport final</w:t>
      </w:r>
      <w:r w:rsidR="001A2096">
        <w:rPr>
          <w:szCs w:val="24"/>
        </w:rPr>
        <w:t xml:space="preserve"> (intermédiaire et de fin de projet)</w:t>
      </w:r>
    </w:p>
    <w:p w14:paraId="43742B6C" w14:textId="77777777" w:rsidR="00432667" w:rsidRPr="007174DD" w:rsidRDefault="00432667" w:rsidP="00D24F22">
      <w:pPr>
        <w:rPr>
          <w:szCs w:val="24"/>
        </w:rPr>
      </w:pPr>
    </w:p>
    <w:p w14:paraId="01633498" w14:textId="228189D1" w:rsidR="00D24F22" w:rsidRDefault="00D24F22" w:rsidP="008B0A88">
      <w:pPr>
        <w:pStyle w:val="Titre1"/>
        <w:numPr>
          <w:ilvl w:val="0"/>
          <w:numId w:val="31"/>
        </w:numPr>
        <w:rPr>
          <w:rFonts w:ascii="Times New Roman" w:hAnsi="Times New Roman" w:cs="Times New Roman"/>
          <w:sz w:val="24"/>
          <w:szCs w:val="24"/>
        </w:rPr>
      </w:pPr>
      <w:bookmarkStart w:id="18" w:name="_Toc167895123"/>
      <w:r w:rsidRPr="007174DD">
        <w:rPr>
          <w:rFonts w:ascii="Times New Roman" w:hAnsi="Times New Roman" w:cs="Times New Roman"/>
          <w:sz w:val="24"/>
          <w:szCs w:val="24"/>
        </w:rPr>
        <w:t>Productions finales attendues</w:t>
      </w:r>
      <w:bookmarkEnd w:id="18"/>
    </w:p>
    <w:p w14:paraId="258F4E45" w14:textId="77777777" w:rsidR="004B46E1" w:rsidRPr="009D249C" w:rsidRDefault="004B46E1" w:rsidP="004B46E1">
      <w:pPr>
        <w:rPr>
          <w:u w:val="single"/>
        </w:rPr>
      </w:pPr>
    </w:p>
    <w:p w14:paraId="5AC2FE68" w14:textId="69E6248A" w:rsidR="004B46E1" w:rsidRPr="009D249C" w:rsidRDefault="004B46E1" w:rsidP="004B46E1">
      <w:r w:rsidRPr="009D249C">
        <w:t>Pour l’évaluation  intermédiaire et final</w:t>
      </w:r>
      <w:r w:rsidR="00410B34">
        <w:t>e</w:t>
      </w:r>
      <w:r w:rsidRPr="009D249C">
        <w:t xml:space="preserve"> : </w:t>
      </w:r>
    </w:p>
    <w:p w14:paraId="20C0DFA8" w14:textId="77777777" w:rsidR="0086011A" w:rsidRPr="007174DD" w:rsidRDefault="0086011A" w:rsidP="00D24F22">
      <w:pPr>
        <w:rPr>
          <w:szCs w:val="24"/>
        </w:rPr>
      </w:pPr>
    </w:p>
    <w:p w14:paraId="55E557CD" w14:textId="338737C7" w:rsidR="00D24F22" w:rsidRPr="007174DD" w:rsidRDefault="00D24F22" w:rsidP="006716C7">
      <w:pPr>
        <w:pStyle w:val="Paragraphedeliste"/>
        <w:numPr>
          <w:ilvl w:val="0"/>
          <w:numId w:val="25"/>
        </w:numPr>
        <w:rPr>
          <w:szCs w:val="24"/>
        </w:rPr>
      </w:pPr>
      <w:r w:rsidRPr="007174DD">
        <w:rPr>
          <w:szCs w:val="24"/>
        </w:rPr>
        <w:t>Une note de cadrage détaillée à la fin de la phase d’analyse documentaire</w:t>
      </w:r>
    </w:p>
    <w:p w14:paraId="5A66303C" w14:textId="212771CB" w:rsidR="00D24F22" w:rsidRPr="007174DD" w:rsidRDefault="00D24F22" w:rsidP="006716C7">
      <w:pPr>
        <w:pStyle w:val="Paragraphedeliste"/>
        <w:numPr>
          <w:ilvl w:val="0"/>
          <w:numId w:val="25"/>
        </w:numPr>
        <w:rPr>
          <w:szCs w:val="24"/>
        </w:rPr>
      </w:pPr>
      <w:r w:rsidRPr="007174DD">
        <w:rPr>
          <w:szCs w:val="24"/>
        </w:rPr>
        <w:t>Une note d’étape lors de la première restitution</w:t>
      </w:r>
    </w:p>
    <w:p w14:paraId="6CA41EA2" w14:textId="4F8CE39E" w:rsidR="00D24F22" w:rsidRPr="007174DD" w:rsidRDefault="00D24F22" w:rsidP="006716C7">
      <w:pPr>
        <w:pStyle w:val="Paragraphedeliste"/>
        <w:numPr>
          <w:ilvl w:val="0"/>
          <w:numId w:val="25"/>
        </w:numPr>
        <w:rPr>
          <w:szCs w:val="24"/>
        </w:rPr>
      </w:pPr>
      <w:r w:rsidRPr="007174DD">
        <w:rPr>
          <w:szCs w:val="24"/>
        </w:rPr>
        <w:t>Un rapport provisoire d’évaluation incluant une synthèse</w:t>
      </w:r>
    </w:p>
    <w:p w14:paraId="6F381F57" w14:textId="3AE27F88" w:rsidR="00D24F22" w:rsidRPr="007174DD" w:rsidRDefault="00D24F22" w:rsidP="006716C7">
      <w:pPr>
        <w:pStyle w:val="Paragraphedeliste"/>
        <w:numPr>
          <w:ilvl w:val="0"/>
          <w:numId w:val="25"/>
        </w:numPr>
        <w:rPr>
          <w:szCs w:val="24"/>
        </w:rPr>
      </w:pPr>
      <w:r w:rsidRPr="007174DD">
        <w:rPr>
          <w:szCs w:val="24"/>
        </w:rPr>
        <w:t>Une version définitive du rapport d’évaluation  (le rapport provisoire éventuellement amendé</w:t>
      </w:r>
      <w:r w:rsidR="00C52B2B" w:rsidRPr="007174DD">
        <w:rPr>
          <w:szCs w:val="24"/>
        </w:rPr>
        <w:t>)</w:t>
      </w:r>
    </w:p>
    <w:p w14:paraId="7E08C389" w14:textId="77777777" w:rsidR="00C52B2B" w:rsidRPr="007174DD" w:rsidRDefault="00C52B2B" w:rsidP="00C52B2B">
      <w:pPr>
        <w:ind w:left="360"/>
        <w:rPr>
          <w:szCs w:val="24"/>
        </w:rPr>
      </w:pPr>
    </w:p>
    <w:p w14:paraId="71ABD3DC" w14:textId="7AAE7BB2" w:rsidR="008B0A88" w:rsidRPr="009D249C" w:rsidRDefault="009D249C" w:rsidP="008B0A88">
      <w:pPr>
        <w:rPr>
          <w:szCs w:val="24"/>
        </w:rPr>
      </w:pPr>
      <w:r w:rsidRPr="009D249C">
        <w:rPr>
          <w:szCs w:val="24"/>
        </w:rPr>
        <w:t xml:space="preserve">  </w:t>
      </w:r>
      <w:r w:rsidR="008B0A88" w:rsidRPr="009D249C">
        <w:rPr>
          <w:szCs w:val="24"/>
        </w:rPr>
        <w:t>Calendrier</w:t>
      </w:r>
      <w:r>
        <w:rPr>
          <w:szCs w:val="24"/>
        </w:rPr>
        <w:t> :</w:t>
      </w:r>
    </w:p>
    <w:p w14:paraId="4AABBEA9" w14:textId="77777777" w:rsidR="00C52B2B" w:rsidRPr="007174DD" w:rsidRDefault="00C52B2B" w:rsidP="00C52B2B">
      <w:pPr>
        <w:ind w:left="360"/>
        <w:rPr>
          <w:szCs w:val="24"/>
        </w:rPr>
      </w:pPr>
    </w:p>
    <w:p w14:paraId="5E22A574" w14:textId="787A30CC" w:rsidR="00C52B2B" w:rsidRPr="000C006F" w:rsidRDefault="00C52B2B" w:rsidP="00C52B2B">
      <w:pPr>
        <w:pStyle w:val="Paragraphedeliste"/>
        <w:numPr>
          <w:ilvl w:val="0"/>
          <w:numId w:val="25"/>
        </w:numPr>
        <w:jc w:val="both"/>
        <w:rPr>
          <w:szCs w:val="24"/>
        </w:rPr>
      </w:pPr>
      <w:r w:rsidRPr="000C006F">
        <w:rPr>
          <w:szCs w:val="24"/>
        </w:rPr>
        <w:t>Réunion de cadrage</w:t>
      </w:r>
      <w:r w:rsidR="00432667" w:rsidRPr="000C006F">
        <w:rPr>
          <w:szCs w:val="24"/>
        </w:rPr>
        <w:t xml:space="preserve"> évaluation intermédiaire </w:t>
      </w:r>
      <w:r w:rsidRPr="000C006F">
        <w:rPr>
          <w:szCs w:val="24"/>
        </w:rPr>
        <w:t>: Aout  2024</w:t>
      </w:r>
    </w:p>
    <w:p w14:paraId="72322A34" w14:textId="146B5B8C" w:rsidR="00C52B2B" w:rsidRPr="000C006F" w:rsidRDefault="00C52B2B" w:rsidP="00C52B2B">
      <w:pPr>
        <w:pStyle w:val="Paragraphedeliste"/>
        <w:numPr>
          <w:ilvl w:val="0"/>
          <w:numId w:val="25"/>
        </w:numPr>
        <w:jc w:val="both"/>
        <w:rPr>
          <w:szCs w:val="24"/>
        </w:rPr>
      </w:pPr>
      <w:r w:rsidRPr="000C006F">
        <w:rPr>
          <w:szCs w:val="24"/>
        </w:rPr>
        <w:t>Restitution du rapport provisoire</w:t>
      </w:r>
      <w:r w:rsidR="00432667" w:rsidRPr="000C006F">
        <w:rPr>
          <w:szCs w:val="24"/>
        </w:rPr>
        <w:t xml:space="preserve"> évaluation </w:t>
      </w:r>
      <w:r w:rsidRPr="000C006F">
        <w:rPr>
          <w:szCs w:val="24"/>
        </w:rPr>
        <w:t> : novembre 2024</w:t>
      </w:r>
    </w:p>
    <w:p w14:paraId="098A0FA5" w14:textId="77777777" w:rsidR="00C52B2B" w:rsidRPr="000C006F" w:rsidRDefault="00C52B2B" w:rsidP="00C52B2B">
      <w:pPr>
        <w:pStyle w:val="Paragraphedeliste"/>
        <w:numPr>
          <w:ilvl w:val="0"/>
          <w:numId w:val="25"/>
        </w:numPr>
        <w:jc w:val="both"/>
        <w:rPr>
          <w:szCs w:val="24"/>
        </w:rPr>
      </w:pPr>
      <w:r w:rsidRPr="000C006F">
        <w:rPr>
          <w:szCs w:val="24"/>
        </w:rPr>
        <w:t>Organisation d’un atelier d’échange, de restitution et de préparation des recommandations avec les parties prenantes du projet par visioconférence.</w:t>
      </w:r>
    </w:p>
    <w:p w14:paraId="1086DF12" w14:textId="181FBDA6" w:rsidR="00C52B2B" w:rsidRPr="000C006F" w:rsidRDefault="00C52B2B" w:rsidP="00C52B2B">
      <w:pPr>
        <w:pStyle w:val="Paragraphedeliste"/>
        <w:numPr>
          <w:ilvl w:val="0"/>
          <w:numId w:val="25"/>
        </w:numPr>
        <w:jc w:val="both"/>
        <w:rPr>
          <w:szCs w:val="24"/>
        </w:rPr>
      </w:pPr>
      <w:r w:rsidRPr="000C006F">
        <w:rPr>
          <w:szCs w:val="24"/>
        </w:rPr>
        <w:t>Remise du rapport final</w:t>
      </w:r>
      <w:r w:rsidR="00432667" w:rsidRPr="000C006F">
        <w:rPr>
          <w:szCs w:val="24"/>
        </w:rPr>
        <w:t xml:space="preserve"> intermédiaire</w:t>
      </w:r>
      <w:r w:rsidRPr="000C006F">
        <w:rPr>
          <w:szCs w:val="24"/>
        </w:rPr>
        <w:t xml:space="preserve"> : </w:t>
      </w:r>
      <w:r w:rsidR="007B085F" w:rsidRPr="000C006F">
        <w:rPr>
          <w:b/>
          <w:bCs/>
          <w:szCs w:val="24"/>
        </w:rPr>
        <w:t xml:space="preserve">Décembre </w:t>
      </w:r>
      <w:r w:rsidRPr="000C006F">
        <w:rPr>
          <w:b/>
          <w:bCs/>
          <w:szCs w:val="24"/>
        </w:rPr>
        <w:t>202</w:t>
      </w:r>
      <w:r w:rsidR="002F02A4" w:rsidRPr="000C006F">
        <w:rPr>
          <w:b/>
          <w:bCs/>
          <w:szCs w:val="24"/>
        </w:rPr>
        <w:t>4</w:t>
      </w:r>
    </w:p>
    <w:p w14:paraId="1E7DA25A" w14:textId="77777777" w:rsidR="00432667" w:rsidRPr="000C006F" w:rsidRDefault="00C52B2B" w:rsidP="00C52B2B">
      <w:pPr>
        <w:pStyle w:val="Paragraphedeliste"/>
        <w:numPr>
          <w:ilvl w:val="0"/>
          <w:numId w:val="25"/>
        </w:numPr>
        <w:jc w:val="both"/>
        <w:rPr>
          <w:szCs w:val="24"/>
        </w:rPr>
      </w:pPr>
      <w:r w:rsidRPr="000C006F">
        <w:rPr>
          <w:szCs w:val="24"/>
        </w:rPr>
        <w:t>À la suite des remarques faites lors de la restitution du rapport provisoire, l’évaluateur rédigera un rapport final.</w:t>
      </w:r>
    </w:p>
    <w:p w14:paraId="65522A95" w14:textId="77777777" w:rsidR="00432667" w:rsidRPr="000C006F" w:rsidRDefault="00432667" w:rsidP="00432667">
      <w:pPr>
        <w:ind w:left="360"/>
        <w:rPr>
          <w:szCs w:val="24"/>
        </w:rPr>
      </w:pPr>
    </w:p>
    <w:p w14:paraId="1C3876B7" w14:textId="091C18BB" w:rsidR="00432667" w:rsidRPr="000C006F" w:rsidRDefault="00432667" w:rsidP="00432667">
      <w:pPr>
        <w:pStyle w:val="Paragraphedeliste"/>
        <w:numPr>
          <w:ilvl w:val="0"/>
          <w:numId w:val="25"/>
        </w:numPr>
        <w:jc w:val="both"/>
        <w:rPr>
          <w:szCs w:val="24"/>
        </w:rPr>
      </w:pPr>
      <w:r w:rsidRPr="000C006F">
        <w:rPr>
          <w:szCs w:val="24"/>
        </w:rPr>
        <w:t>Réunion de cadrage évaluation de fin de projet :</w:t>
      </w:r>
      <w:r w:rsidR="002F02A4" w:rsidRPr="000C006F">
        <w:rPr>
          <w:szCs w:val="24"/>
        </w:rPr>
        <w:t xml:space="preserve"> Juin</w:t>
      </w:r>
      <w:r w:rsidRPr="000C006F">
        <w:rPr>
          <w:szCs w:val="24"/>
        </w:rPr>
        <w:t xml:space="preserve">  202</w:t>
      </w:r>
      <w:r w:rsidR="002F02A4" w:rsidRPr="000C006F">
        <w:rPr>
          <w:szCs w:val="24"/>
        </w:rPr>
        <w:t>5</w:t>
      </w:r>
    </w:p>
    <w:p w14:paraId="3D2F0320" w14:textId="7ADBC003" w:rsidR="00432667" w:rsidRPr="000C006F" w:rsidRDefault="00432667" w:rsidP="00432667">
      <w:pPr>
        <w:pStyle w:val="Paragraphedeliste"/>
        <w:numPr>
          <w:ilvl w:val="0"/>
          <w:numId w:val="25"/>
        </w:numPr>
        <w:jc w:val="both"/>
        <w:rPr>
          <w:szCs w:val="24"/>
        </w:rPr>
      </w:pPr>
      <w:r w:rsidRPr="000C006F">
        <w:rPr>
          <w:szCs w:val="24"/>
        </w:rPr>
        <w:t xml:space="preserve">Restitution du rapport provisoire </w:t>
      </w:r>
      <w:r w:rsidR="002F02A4" w:rsidRPr="000C006F">
        <w:rPr>
          <w:szCs w:val="24"/>
        </w:rPr>
        <w:t>de l’</w:t>
      </w:r>
      <w:r w:rsidRPr="000C006F">
        <w:rPr>
          <w:szCs w:val="24"/>
        </w:rPr>
        <w:t xml:space="preserve">évaluation </w:t>
      </w:r>
      <w:r w:rsidR="002F02A4" w:rsidRPr="000C006F">
        <w:rPr>
          <w:szCs w:val="24"/>
        </w:rPr>
        <w:t>final</w:t>
      </w:r>
      <w:r w:rsidRPr="000C006F">
        <w:rPr>
          <w:szCs w:val="24"/>
        </w:rPr>
        <w:t xml:space="preserve"> : </w:t>
      </w:r>
      <w:r w:rsidR="002F02A4" w:rsidRPr="000C006F">
        <w:rPr>
          <w:szCs w:val="24"/>
        </w:rPr>
        <w:t xml:space="preserve">novembre </w:t>
      </w:r>
      <w:r w:rsidRPr="000C006F">
        <w:rPr>
          <w:szCs w:val="24"/>
        </w:rPr>
        <w:t xml:space="preserve"> 202</w:t>
      </w:r>
      <w:r w:rsidR="002F02A4" w:rsidRPr="000C006F">
        <w:rPr>
          <w:szCs w:val="24"/>
        </w:rPr>
        <w:t>5</w:t>
      </w:r>
    </w:p>
    <w:p w14:paraId="4F97C8C0" w14:textId="77777777" w:rsidR="00432667" w:rsidRPr="000C006F" w:rsidRDefault="00432667" w:rsidP="00432667">
      <w:pPr>
        <w:pStyle w:val="Paragraphedeliste"/>
        <w:numPr>
          <w:ilvl w:val="0"/>
          <w:numId w:val="25"/>
        </w:numPr>
        <w:jc w:val="both"/>
        <w:rPr>
          <w:szCs w:val="24"/>
        </w:rPr>
      </w:pPr>
      <w:r w:rsidRPr="000C006F">
        <w:rPr>
          <w:szCs w:val="24"/>
        </w:rPr>
        <w:t>Organisation d’un atelier d’échange, de restitution et de préparation des recommandations avec les parties prenantes du projet par visioconférence.</w:t>
      </w:r>
    </w:p>
    <w:p w14:paraId="0CFD5DB2" w14:textId="20BDB27B" w:rsidR="00432667" w:rsidRPr="000C006F" w:rsidRDefault="00432667" w:rsidP="00432667">
      <w:pPr>
        <w:pStyle w:val="Paragraphedeliste"/>
        <w:numPr>
          <w:ilvl w:val="0"/>
          <w:numId w:val="25"/>
        </w:numPr>
        <w:jc w:val="both"/>
        <w:rPr>
          <w:szCs w:val="24"/>
        </w:rPr>
      </w:pPr>
      <w:r w:rsidRPr="000C006F">
        <w:rPr>
          <w:szCs w:val="24"/>
        </w:rPr>
        <w:t xml:space="preserve">Remise du rapport final </w:t>
      </w:r>
      <w:r w:rsidR="002F02A4" w:rsidRPr="000C006F">
        <w:rPr>
          <w:szCs w:val="24"/>
        </w:rPr>
        <w:t>d’évaluation</w:t>
      </w:r>
      <w:r w:rsidRPr="000C006F">
        <w:rPr>
          <w:szCs w:val="24"/>
        </w:rPr>
        <w:t xml:space="preserve"> : </w:t>
      </w:r>
      <w:r w:rsidRPr="000C006F">
        <w:rPr>
          <w:b/>
          <w:bCs/>
          <w:szCs w:val="24"/>
        </w:rPr>
        <w:t>Décembre 2025</w:t>
      </w:r>
    </w:p>
    <w:p w14:paraId="6F003760" w14:textId="77777777" w:rsidR="00432667" w:rsidRPr="000C006F" w:rsidRDefault="00432667" w:rsidP="00432667">
      <w:pPr>
        <w:pStyle w:val="Paragraphedeliste"/>
        <w:numPr>
          <w:ilvl w:val="0"/>
          <w:numId w:val="25"/>
        </w:numPr>
        <w:jc w:val="both"/>
        <w:rPr>
          <w:szCs w:val="24"/>
        </w:rPr>
      </w:pPr>
      <w:r w:rsidRPr="000C006F">
        <w:rPr>
          <w:szCs w:val="24"/>
        </w:rPr>
        <w:t>À la suite des remarques faites lors de la restitution du rapport provisoire, l’évaluateur rédigera un rapport final.</w:t>
      </w:r>
    </w:p>
    <w:p w14:paraId="12E56C1C" w14:textId="77777777" w:rsidR="00432667" w:rsidRPr="000C006F" w:rsidRDefault="00432667" w:rsidP="00432667">
      <w:pPr>
        <w:jc w:val="both"/>
        <w:rPr>
          <w:szCs w:val="24"/>
        </w:rPr>
      </w:pPr>
    </w:p>
    <w:p w14:paraId="21287CDF" w14:textId="590DC5B3" w:rsidR="00C52B2B" w:rsidRPr="000C006F" w:rsidRDefault="00C52B2B" w:rsidP="00432667">
      <w:pPr>
        <w:jc w:val="both"/>
        <w:rPr>
          <w:szCs w:val="24"/>
        </w:rPr>
      </w:pPr>
      <w:r w:rsidRPr="000C006F">
        <w:rPr>
          <w:szCs w:val="24"/>
        </w:rPr>
        <w:t xml:space="preserve"> </w:t>
      </w:r>
      <w:r w:rsidR="002F02A4" w:rsidRPr="000C006F">
        <w:rPr>
          <w:szCs w:val="24"/>
        </w:rPr>
        <w:t>Les rapports</w:t>
      </w:r>
      <w:r w:rsidRPr="000C006F">
        <w:rPr>
          <w:szCs w:val="24"/>
        </w:rPr>
        <w:t xml:space="preserve"> </w:t>
      </w:r>
      <w:r w:rsidR="002F02A4" w:rsidRPr="000C006F">
        <w:rPr>
          <w:szCs w:val="24"/>
        </w:rPr>
        <w:t xml:space="preserve">d’évaluation </w:t>
      </w:r>
      <w:r w:rsidR="00432667" w:rsidRPr="000C006F">
        <w:rPr>
          <w:szCs w:val="24"/>
        </w:rPr>
        <w:t xml:space="preserve">intermédiaire et final </w:t>
      </w:r>
      <w:r w:rsidR="002F02A4" w:rsidRPr="000C006F">
        <w:rPr>
          <w:szCs w:val="24"/>
        </w:rPr>
        <w:t>devront</w:t>
      </w:r>
      <w:r w:rsidRPr="000C006F">
        <w:rPr>
          <w:szCs w:val="24"/>
        </w:rPr>
        <w:t xml:space="preserve"> contenir </w:t>
      </w:r>
      <w:r w:rsidRPr="000C006F">
        <w:rPr>
          <w:b/>
          <w:szCs w:val="24"/>
        </w:rPr>
        <w:t>des recommandations stratégiques et opérationnelles précises et un résumé</w:t>
      </w:r>
      <w:r w:rsidRPr="000C006F">
        <w:rPr>
          <w:szCs w:val="24"/>
        </w:rPr>
        <w:t>. Une fois validé et accepté, le</w:t>
      </w:r>
      <w:r w:rsidR="002A2093">
        <w:rPr>
          <w:szCs w:val="24"/>
        </w:rPr>
        <w:t>s</w:t>
      </w:r>
      <w:r w:rsidRPr="000C006F">
        <w:rPr>
          <w:szCs w:val="24"/>
        </w:rPr>
        <w:t xml:space="preserve"> rapport</w:t>
      </w:r>
      <w:r w:rsidR="002A2093">
        <w:rPr>
          <w:szCs w:val="24"/>
        </w:rPr>
        <w:t>s</w:t>
      </w:r>
      <w:r w:rsidRPr="000C006F">
        <w:rPr>
          <w:szCs w:val="24"/>
        </w:rPr>
        <w:t xml:space="preserve"> </w:t>
      </w:r>
      <w:r w:rsidR="002A2093">
        <w:rPr>
          <w:szCs w:val="24"/>
        </w:rPr>
        <w:lastRenderedPageBreak/>
        <w:t xml:space="preserve">seront </w:t>
      </w:r>
      <w:r w:rsidRPr="000C006F">
        <w:rPr>
          <w:szCs w:val="24"/>
        </w:rPr>
        <w:t xml:space="preserve">remis en français en </w:t>
      </w:r>
      <w:r w:rsidR="004B46E1" w:rsidRPr="000C006F">
        <w:rPr>
          <w:szCs w:val="24"/>
        </w:rPr>
        <w:t>2</w:t>
      </w:r>
      <w:r w:rsidRPr="000C006F">
        <w:rPr>
          <w:szCs w:val="24"/>
        </w:rPr>
        <w:t xml:space="preserve"> exemplaires. Une version électronique (Word et PDF) de</w:t>
      </w:r>
      <w:r w:rsidR="002A2093">
        <w:rPr>
          <w:szCs w:val="24"/>
        </w:rPr>
        <w:t xml:space="preserve">s </w:t>
      </w:r>
      <w:r w:rsidRPr="000C006F">
        <w:rPr>
          <w:szCs w:val="24"/>
        </w:rPr>
        <w:t>rapport</w:t>
      </w:r>
      <w:r w:rsidR="002A2093">
        <w:rPr>
          <w:szCs w:val="24"/>
        </w:rPr>
        <w:t>s</w:t>
      </w:r>
      <w:r w:rsidRPr="000C006F">
        <w:rPr>
          <w:szCs w:val="24"/>
        </w:rPr>
        <w:t xml:space="preserve"> ser</w:t>
      </w:r>
      <w:r w:rsidR="002A2093">
        <w:rPr>
          <w:szCs w:val="24"/>
        </w:rPr>
        <w:t>ont</w:t>
      </w:r>
      <w:r w:rsidRPr="000C006F">
        <w:rPr>
          <w:szCs w:val="24"/>
        </w:rPr>
        <w:t xml:space="preserve"> également remise</w:t>
      </w:r>
      <w:r w:rsidR="002A2093">
        <w:rPr>
          <w:szCs w:val="24"/>
        </w:rPr>
        <w:t>s</w:t>
      </w:r>
      <w:r w:rsidRPr="000C006F">
        <w:rPr>
          <w:szCs w:val="24"/>
        </w:rPr>
        <w:t xml:space="preserve"> par l’évaluateur.</w:t>
      </w:r>
    </w:p>
    <w:p w14:paraId="2DFEE16D" w14:textId="77777777" w:rsidR="00775A44" w:rsidRDefault="00775A44" w:rsidP="00D24F22">
      <w:pPr>
        <w:rPr>
          <w:szCs w:val="24"/>
        </w:rPr>
      </w:pPr>
    </w:p>
    <w:p w14:paraId="2D72AB12" w14:textId="63F3DE04" w:rsidR="009D249C" w:rsidRPr="007174DD" w:rsidRDefault="009D249C" w:rsidP="009D249C">
      <w:pPr>
        <w:pStyle w:val="Titre1"/>
        <w:numPr>
          <w:ilvl w:val="0"/>
          <w:numId w:val="31"/>
        </w:numPr>
        <w:rPr>
          <w:rFonts w:ascii="Times New Roman" w:hAnsi="Times New Roman" w:cs="Times New Roman"/>
          <w:sz w:val="24"/>
          <w:szCs w:val="24"/>
        </w:rPr>
      </w:pPr>
      <w:bookmarkStart w:id="19" w:name="_Toc167895124"/>
      <w:r w:rsidRPr="007174DD">
        <w:rPr>
          <w:rFonts w:ascii="Times New Roman" w:hAnsi="Times New Roman" w:cs="Times New Roman"/>
          <w:sz w:val="24"/>
          <w:szCs w:val="24"/>
        </w:rPr>
        <w:t>Modalités</w:t>
      </w:r>
      <w:bookmarkEnd w:id="19"/>
      <w:r w:rsidRPr="007174DD">
        <w:rPr>
          <w:rFonts w:ascii="Times New Roman" w:hAnsi="Times New Roman" w:cs="Times New Roman"/>
          <w:sz w:val="24"/>
          <w:szCs w:val="24"/>
        </w:rPr>
        <w:t xml:space="preserve"> </w:t>
      </w:r>
      <w:r>
        <w:rPr>
          <w:rFonts w:ascii="Times New Roman" w:hAnsi="Times New Roman" w:cs="Times New Roman"/>
          <w:sz w:val="24"/>
          <w:szCs w:val="24"/>
        </w:rPr>
        <w:t xml:space="preserve">de recrutement </w:t>
      </w:r>
    </w:p>
    <w:p w14:paraId="10C695EF" w14:textId="77777777" w:rsidR="009D249C" w:rsidRPr="007174DD" w:rsidRDefault="009D249C" w:rsidP="00D24F22">
      <w:pPr>
        <w:rPr>
          <w:szCs w:val="24"/>
        </w:rPr>
      </w:pPr>
    </w:p>
    <w:p w14:paraId="32ED6562" w14:textId="227D7D12" w:rsidR="00D24F22" w:rsidRPr="007174DD" w:rsidRDefault="00D24F22" w:rsidP="009D249C">
      <w:pPr>
        <w:pStyle w:val="Paragraphedeliste"/>
        <w:numPr>
          <w:ilvl w:val="0"/>
          <w:numId w:val="35"/>
        </w:numPr>
        <w:rPr>
          <w:szCs w:val="24"/>
          <w:u w:val="single"/>
        </w:rPr>
      </w:pPr>
      <w:r w:rsidRPr="007174DD">
        <w:rPr>
          <w:szCs w:val="24"/>
          <w:u w:val="single"/>
        </w:rPr>
        <w:t xml:space="preserve">Profil </w:t>
      </w:r>
      <w:r w:rsidR="00775A44" w:rsidRPr="007174DD">
        <w:rPr>
          <w:szCs w:val="24"/>
          <w:u w:val="single"/>
        </w:rPr>
        <w:t>du consultant</w:t>
      </w:r>
    </w:p>
    <w:p w14:paraId="14653533" w14:textId="77777777" w:rsidR="00775A44" w:rsidRPr="007174DD" w:rsidRDefault="00775A44" w:rsidP="00775A44">
      <w:pPr>
        <w:ind w:left="360"/>
        <w:rPr>
          <w:szCs w:val="24"/>
        </w:rPr>
      </w:pPr>
    </w:p>
    <w:p w14:paraId="5857266F" w14:textId="46B6F7EC" w:rsidR="00D24F22" w:rsidRDefault="00D24F22" w:rsidP="00432667">
      <w:pPr>
        <w:pStyle w:val="Paragraphedeliste"/>
        <w:numPr>
          <w:ilvl w:val="0"/>
          <w:numId w:val="27"/>
        </w:numPr>
        <w:rPr>
          <w:szCs w:val="24"/>
        </w:rPr>
      </w:pPr>
      <w:r w:rsidRPr="007174DD">
        <w:rPr>
          <w:szCs w:val="24"/>
        </w:rPr>
        <w:t>Expérience réussie en évaluation de pr</w:t>
      </w:r>
      <w:r w:rsidR="00775A44" w:rsidRPr="007174DD">
        <w:rPr>
          <w:szCs w:val="24"/>
        </w:rPr>
        <w:t xml:space="preserve">ogramme multi pays </w:t>
      </w:r>
      <w:r w:rsidR="004B46E1">
        <w:rPr>
          <w:szCs w:val="24"/>
        </w:rPr>
        <w:t xml:space="preserve">financé par </w:t>
      </w:r>
      <w:r w:rsidRPr="007174DD">
        <w:rPr>
          <w:szCs w:val="24"/>
        </w:rPr>
        <w:t>l’</w:t>
      </w:r>
      <w:r w:rsidR="00775A44" w:rsidRPr="007174DD">
        <w:rPr>
          <w:szCs w:val="24"/>
        </w:rPr>
        <w:t xml:space="preserve">UE </w:t>
      </w:r>
    </w:p>
    <w:p w14:paraId="0607AC43" w14:textId="4009197C" w:rsidR="004B46E1" w:rsidRPr="007174DD" w:rsidRDefault="004B46E1" w:rsidP="00432667">
      <w:pPr>
        <w:pStyle w:val="Paragraphedeliste"/>
        <w:numPr>
          <w:ilvl w:val="0"/>
          <w:numId w:val="27"/>
        </w:numPr>
        <w:rPr>
          <w:szCs w:val="24"/>
        </w:rPr>
      </w:pPr>
      <w:r>
        <w:rPr>
          <w:szCs w:val="24"/>
        </w:rPr>
        <w:t xml:space="preserve">Maitrise des procédures UE </w:t>
      </w:r>
    </w:p>
    <w:p w14:paraId="226A5541" w14:textId="36BB0D2C" w:rsidR="00D24F22" w:rsidRPr="007174DD" w:rsidRDefault="00D24F22" w:rsidP="00432667">
      <w:pPr>
        <w:pStyle w:val="Paragraphedeliste"/>
        <w:numPr>
          <w:ilvl w:val="0"/>
          <w:numId w:val="27"/>
        </w:numPr>
        <w:rPr>
          <w:szCs w:val="24"/>
        </w:rPr>
      </w:pPr>
      <w:r w:rsidRPr="007174DD">
        <w:rPr>
          <w:szCs w:val="24"/>
        </w:rPr>
        <w:t>Diplôme universitaire en sciences</w:t>
      </w:r>
      <w:r w:rsidR="004B46E1">
        <w:rPr>
          <w:szCs w:val="24"/>
        </w:rPr>
        <w:t xml:space="preserve"> politique, </w:t>
      </w:r>
      <w:r w:rsidRPr="007174DD">
        <w:rPr>
          <w:szCs w:val="24"/>
        </w:rPr>
        <w:t xml:space="preserve"> </w:t>
      </w:r>
      <w:r w:rsidR="004B46E1">
        <w:rPr>
          <w:szCs w:val="24"/>
        </w:rPr>
        <w:t xml:space="preserve">relation international, coopération décentralisée </w:t>
      </w:r>
      <w:r w:rsidRPr="007174DD">
        <w:rPr>
          <w:szCs w:val="24"/>
        </w:rPr>
        <w:t>ou équivalent</w:t>
      </w:r>
    </w:p>
    <w:p w14:paraId="64556BCA" w14:textId="697B3780" w:rsidR="00D24F22" w:rsidRPr="007174DD" w:rsidRDefault="00D24F22" w:rsidP="00432667">
      <w:pPr>
        <w:pStyle w:val="Paragraphedeliste"/>
        <w:numPr>
          <w:ilvl w:val="0"/>
          <w:numId w:val="27"/>
        </w:numPr>
        <w:rPr>
          <w:szCs w:val="24"/>
        </w:rPr>
      </w:pPr>
      <w:r w:rsidRPr="007174DD">
        <w:rPr>
          <w:szCs w:val="24"/>
        </w:rPr>
        <w:t>Très bonne connaissance d</w:t>
      </w:r>
      <w:r w:rsidR="00775A44" w:rsidRPr="007174DD">
        <w:rPr>
          <w:szCs w:val="24"/>
        </w:rPr>
        <w:t>es collectivités locales</w:t>
      </w:r>
      <w:r w:rsidRPr="007174DD">
        <w:rPr>
          <w:szCs w:val="24"/>
        </w:rPr>
        <w:t>, d</w:t>
      </w:r>
      <w:r w:rsidR="00775A44" w:rsidRPr="007174DD">
        <w:rPr>
          <w:szCs w:val="24"/>
        </w:rPr>
        <w:t>es processus de décentralisation en Afrique</w:t>
      </w:r>
      <w:r w:rsidR="004B46E1">
        <w:rPr>
          <w:szCs w:val="24"/>
        </w:rPr>
        <w:t xml:space="preserve"> et </w:t>
      </w:r>
      <w:r w:rsidR="00775A44" w:rsidRPr="007174DD">
        <w:rPr>
          <w:szCs w:val="24"/>
        </w:rPr>
        <w:t>en Asie</w:t>
      </w:r>
    </w:p>
    <w:p w14:paraId="1C2E439A" w14:textId="055C8D54" w:rsidR="00D24F22" w:rsidRPr="007174DD" w:rsidRDefault="00D24F22" w:rsidP="00432667">
      <w:pPr>
        <w:pStyle w:val="Paragraphedeliste"/>
        <w:numPr>
          <w:ilvl w:val="0"/>
          <w:numId w:val="27"/>
        </w:numPr>
        <w:rPr>
          <w:szCs w:val="24"/>
        </w:rPr>
      </w:pPr>
      <w:r w:rsidRPr="007174DD">
        <w:rPr>
          <w:szCs w:val="24"/>
        </w:rPr>
        <w:t>Très bonne connaissance</w:t>
      </w:r>
      <w:r w:rsidR="00775A44" w:rsidRPr="007174DD">
        <w:rPr>
          <w:szCs w:val="24"/>
        </w:rPr>
        <w:t xml:space="preserve"> des enjeux autour de la localisation des ODD</w:t>
      </w:r>
      <w:r w:rsidRPr="007174DD">
        <w:rPr>
          <w:szCs w:val="24"/>
        </w:rPr>
        <w:t>;</w:t>
      </w:r>
    </w:p>
    <w:p w14:paraId="2D9B3179" w14:textId="71E4F178" w:rsidR="00D24F22" w:rsidRPr="007174DD" w:rsidRDefault="00D24F22" w:rsidP="00432667">
      <w:pPr>
        <w:pStyle w:val="Paragraphedeliste"/>
        <w:numPr>
          <w:ilvl w:val="0"/>
          <w:numId w:val="27"/>
        </w:numPr>
        <w:rPr>
          <w:szCs w:val="24"/>
        </w:rPr>
      </w:pPr>
      <w:r w:rsidRPr="007174DD">
        <w:rPr>
          <w:szCs w:val="24"/>
        </w:rPr>
        <w:t>Capacité avérée à produire une analyse et des recommandations stratégiques ;</w:t>
      </w:r>
    </w:p>
    <w:p w14:paraId="1F67D116" w14:textId="7769E1A8" w:rsidR="00D24F22" w:rsidRPr="007174DD" w:rsidRDefault="00D24F22" w:rsidP="00432667">
      <w:pPr>
        <w:pStyle w:val="Paragraphedeliste"/>
        <w:numPr>
          <w:ilvl w:val="0"/>
          <w:numId w:val="27"/>
        </w:numPr>
        <w:rPr>
          <w:szCs w:val="24"/>
        </w:rPr>
      </w:pPr>
      <w:r w:rsidRPr="007174DD">
        <w:rPr>
          <w:szCs w:val="24"/>
        </w:rPr>
        <w:t>Maîtrise d</w:t>
      </w:r>
      <w:r w:rsidR="009D249C">
        <w:rPr>
          <w:szCs w:val="24"/>
        </w:rPr>
        <w:t>u Français</w:t>
      </w:r>
    </w:p>
    <w:p w14:paraId="22C5E1C9" w14:textId="77777777" w:rsidR="00432667" w:rsidRPr="007174DD" w:rsidRDefault="00432667" w:rsidP="00432667">
      <w:pPr>
        <w:rPr>
          <w:szCs w:val="24"/>
          <w:highlight w:val="yellow"/>
        </w:rPr>
      </w:pPr>
    </w:p>
    <w:p w14:paraId="1C3A3FEF" w14:textId="59DE6233" w:rsidR="00432667" w:rsidRPr="007174DD" w:rsidRDefault="00432667" w:rsidP="008B0A88">
      <w:pPr>
        <w:pStyle w:val="Paragraphedeliste"/>
        <w:numPr>
          <w:ilvl w:val="0"/>
          <w:numId w:val="32"/>
        </w:numPr>
        <w:rPr>
          <w:szCs w:val="24"/>
          <w:u w:val="single"/>
        </w:rPr>
      </w:pPr>
      <w:r w:rsidRPr="007174DD">
        <w:rPr>
          <w:szCs w:val="24"/>
          <w:u w:val="single"/>
        </w:rPr>
        <w:t>Honoraires </w:t>
      </w:r>
    </w:p>
    <w:p w14:paraId="5250DAA9" w14:textId="77777777" w:rsidR="00432667" w:rsidRPr="007174DD" w:rsidRDefault="00432667" w:rsidP="00432667">
      <w:pPr>
        <w:rPr>
          <w:szCs w:val="24"/>
        </w:rPr>
      </w:pPr>
    </w:p>
    <w:p w14:paraId="368BEF3C" w14:textId="1BD1B703" w:rsidR="00432667" w:rsidRDefault="00432667" w:rsidP="00432667">
      <w:pPr>
        <w:rPr>
          <w:szCs w:val="24"/>
        </w:rPr>
      </w:pPr>
      <w:r w:rsidRPr="007174DD">
        <w:rPr>
          <w:szCs w:val="24"/>
        </w:rPr>
        <w:t>Le</w:t>
      </w:r>
      <w:r w:rsidR="001A2096">
        <w:rPr>
          <w:szCs w:val="24"/>
        </w:rPr>
        <w:t>s</w:t>
      </w:r>
      <w:r w:rsidRPr="007174DD">
        <w:rPr>
          <w:szCs w:val="24"/>
        </w:rPr>
        <w:t xml:space="preserve">  honoraires </w:t>
      </w:r>
      <w:r w:rsidR="009D249C">
        <w:rPr>
          <w:szCs w:val="24"/>
        </w:rPr>
        <w:t>sont</w:t>
      </w:r>
      <w:r w:rsidRPr="007174DD">
        <w:rPr>
          <w:szCs w:val="24"/>
        </w:rPr>
        <w:t xml:space="preserve"> fixe</w:t>
      </w:r>
      <w:r w:rsidR="001A2096">
        <w:rPr>
          <w:szCs w:val="24"/>
        </w:rPr>
        <w:t>s</w:t>
      </w:r>
      <w:r w:rsidR="009D249C">
        <w:rPr>
          <w:szCs w:val="24"/>
        </w:rPr>
        <w:t xml:space="preserve">, </w:t>
      </w:r>
      <w:r w:rsidRPr="007174DD">
        <w:rPr>
          <w:szCs w:val="24"/>
        </w:rPr>
        <w:t>défini</w:t>
      </w:r>
      <w:r w:rsidR="001A2096">
        <w:rPr>
          <w:szCs w:val="24"/>
        </w:rPr>
        <w:t>s</w:t>
      </w:r>
      <w:r w:rsidRPr="007174DD">
        <w:rPr>
          <w:szCs w:val="24"/>
        </w:rPr>
        <w:t xml:space="preserve"> dans le budget du programme </w:t>
      </w:r>
      <w:r w:rsidR="009D249C">
        <w:rPr>
          <w:szCs w:val="24"/>
        </w:rPr>
        <w:t>à un montant</w:t>
      </w:r>
      <w:r w:rsidRPr="007174DD">
        <w:rPr>
          <w:szCs w:val="24"/>
        </w:rPr>
        <w:t xml:space="preserve"> de 15 000 euros TTC, hors frais de déplacement</w:t>
      </w:r>
      <w:r w:rsidR="002F02A4" w:rsidRPr="007174DD">
        <w:rPr>
          <w:szCs w:val="24"/>
        </w:rPr>
        <w:t xml:space="preserve"> qui seront à la charge du commanditaire.</w:t>
      </w:r>
    </w:p>
    <w:p w14:paraId="1BF83376" w14:textId="77777777" w:rsidR="00432667" w:rsidRDefault="00432667" w:rsidP="00432667">
      <w:pPr>
        <w:rPr>
          <w:szCs w:val="24"/>
        </w:rPr>
      </w:pPr>
    </w:p>
    <w:p w14:paraId="7312A04F" w14:textId="200D8B18" w:rsidR="009D249C" w:rsidRPr="009D249C" w:rsidRDefault="009D249C" w:rsidP="009D249C">
      <w:pPr>
        <w:pStyle w:val="Paragraphedeliste"/>
        <w:numPr>
          <w:ilvl w:val="0"/>
          <w:numId w:val="32"/>
        </w:numPr>
        <w:rPr>
          <w:szCs w:val="24"/>
          <w:u w:val="single"/>
        </w:rPr>
      </w:pPr>
      <w:r w:rsidRPr="009D249C">
        <w:rPr>
          <w:szCs w:val="24"/>
          <w:u w:val="single"/>
        </w:rPr>
        <w:t>Procédure</w:t>
      </w:r>
    </w:p>
    <w:p w14:paraId="2C9CFD1F" w14:textId="77777777" w:rsidR="009D249C" w:rsidRPr="009D249C" w:rsidRDefault="009D249C" w:rsidP="009D249C">
      <w:pPr>
        <w:jc w:val="both"/>
        <w:rPr>
          <w:i/>
          <w:szCs w:val="24"/>
        </w:rPr>
      </w:pPr>
    </w:p>
    <w:p w14:paraId="1DA76302" w14:textId="77777777" w:rsidR="009D249C" w:rsidRPr="009D249C" w:rsidRDefault="009D249C" w:rsidP="009D249C">
      <w:pPr>
        <w:jc w:val="both"/>
        <w:rPr>
          <w:szCs w:val="24"/>
        </w:rPr>
      </w:pPr>
      <w:r w:rsidRPr="009D249C">
        <w:rPr>
          <w:szCs w:val="24"/>
        </w:rPr>
        <w:t>Le recrutement est effectué par l’AIMF sur la base d’un appel à candidatures.</w:t>
      </w:r>
    </w:p>
    <w:p w14:paraId="18D25ABA" w14:textId="77777777" w:rsidR="009D249C" w:rsidRPr="009D249C" w:rsidRDefault="009D249C" w:rsidP="009D249C">
      <w:pPr>
        <w:jc w:val="both"/>
        <w:rPr>
          <w:szCs w:val="24"/>
        </w:rPr>
      </w:pPr>
      <w:r w:rsidRPr="009D249C">
        <w:rPr>
          <w:szCs w:val="24"/>
        </w:rPr>
        <w:t>Le dossier est évalué selon les critères du profil et de l’expérience recherchés.</w:t>
      </w:r>
    </w:p>
    <w:p w14:paraId="6E698CD5" w14:textId="77777777" w:rsidR="009D249C" w:rsidRDefault="009D249C" w:rsidP="009D249C">
      <w:pPr>
        <w:jc w:val="both"/>
        <w:rPr>
          <w:szCs w:val="24"/>
        </w:rPr>
      </w:pPr>
      <w:r w:rsidRPr="009D249C">
        <w:rPr>
          <w:szCs w:val="24"/>
        </w:rPr>
        <w:t>Les candidats retenus participeront à des entretiens</w:t>
      </w:r>
    </w:p>
    <w:p w14:paraId="72522D38" w14:textId="77777777" w:rsidR="001A2096" w:rsidRDefault="001A2096" w:rsidP="009D249C">
      <w:pPr>
        <w:jc w:val="both"/>
        <w:rPr>
          <w:szCs w:val="24"/>
        </w:rPr>
      </w:pPr>
    </w:p>
    <w:p w14:paraId="74A7E1A0" w14:textId="502D3B8B" w:rsidR="001A2096" w:rsidRPr="001A2096" w:rsidRDefault="001A2096" w:rsidP="009D249C">
      <w:pPr>
        <w:jc w:val="both"/>
        <w:rPr>
          <w:b/>
          <w:bCs/>
          <w:szCs w:val="24"/>
        </w:rPr>
      </w:pPr>
      <w:r w:rsidRPr="001A2096">
        <w:rPr>
          <w:b/>
          <w:bCs/>
          <w:szCs w:val="24"/>
        </w:rPr>
        <w:t>Publication de l’offre le 4 juin 2024.</w:t>
      </w:r>
    </w:p>
    <w:p w14:paraId="31EE8570" w14:textId="6747D527" w:rsidR="001A2096" w:rsidRPr="001A2096" w:rsidRDefault="001A2096" w:rsidP="009D249C">
      <w:pPr>
        <w:jc w:val="both"/>
        <w:rPr>
          <w:color w:val="FF0000"/>
          <w:szCs w:val="24"/>
        </w:rPr>
      </w:pPr>
      <w:r w:rsidRPr="001A2096">
        <w:rPr>
          <w:color w:val="FF0000"/>
          <w:szCs w:val="24"/>
        </w:rPr>
        <w:t>Offre valable jusqu’au 4 juillet 2024</w:t>
      </w:r>
      <w:r w:rsidR="002B3892">
        <w:rPr>
          <w:color w:val="FF0000"/>
          <w:szCs w:val="24"/>
        </w:rPr>
        <w:t xml:space="preserve"> inclus</w:t>
      </w:r>
      <w:r w:rsidRPr="001A2096">
        <w:rPr>
          <w:color w:val="FF0000"/>
          <w:szCs w:val="24"/>
        </w:rPr>
        <w:t>.</w:t>
      </w:r>
    </w:p>
    <w:p w14:paraId="31C0486F" w14:textId="77777777" w:rsidR="009D249C" w:rsidRPr="009D249C" w:rsidRDefault="009D249C" w:rsidP="009D249C">
      <w:pPr>
        <w:jc w:val="both"/>
        <w:rPr>
          <w:i/>
          <w:szCs w:val="24"/>
        </w:rPr>
      </w:pPr>
    </w:p>
    <w:p w14:paraId="38A78E82" w14:textId="7C3C0AAF" w:rsidR="009D249C" w:rsidRPr="009D249C" w:rsidRDefault="009D249C" w:rsidP="009D249C">
      <w:pPr>
        <w:pStyle w:val="Paragraphedeliste"/>
        <w:numPr>
          <w:ilvl w:val="0"/>
          <w:numId w:val="32"/>
        </w:numPr>
        <w:rPr>
          <w:szCs w:val="24"/>
          <w:u w:val="single"/>
        </w:rPr>
      </w:pPr>
      <w:r w:rsidRPr="009D249C">
        <w:rPr>
          <w:szCs w:val="24"/>
          <w:u w:val="single"/>
        </w:rPr>
        <w:t>Dossier de candidature</w:t>
      </w:r>
    </w:p>
    <w:p w14:paraId="0F12F64F" w14:textId="77777777" w:rsidR="009D249C" w:rsidRPr="009D249C" w:rsidRDefault="009D249C" w:rsidP="009D249C">
      <w:pPr>
        <w:jc w:val="both"/>
        <w:rPr>
          <w:i/>
          <w:szCs w:val="24"/>
        </w:rPr>
      </w:pPr>
    </w:p>
    <w:p w14:paraId="657FE972" w14:textId="77777777" w:rsidR="009D249C" w:rsidRPr="009D249C" w:rsidRDefault="009D249C" w:rsidP="009D249C">
      <w:pPr>
        <w:jc w:val="both"/>
        <w:rPr>
          <w:szCs w:val="24"/>
        </w:rPr>
      </w:pPr>
      <w:r w:rsidRPr="009D249C">
        <w:rPr>
          <w:szCs w:val="24"/>
        </w:rPr>
        <w:t>Le dossier de candidature se compose d’</w:t>
      </w:r>
    </w:p>
    <w:p w14:paraId="772BB5D1" w14:textId="77777777" w:rsidR="009D249C" w:rsidRPr="009D249C" w:rsidRDefault="009D249C" w:rsidP="009D249C">
      <w:pPr>
        <w:jc w:val="both"/>
        <w:rPr>
          <w:szCs w:val="24"/>
        </w:rPr>
      </w:pPr>
      <w:r w:rsidRPr="009D249C">
        <w:rPr>
          <w:szCs w:val="24"/>
        </w:rPr>
        <w:t>-</w:t>
      </w:r>
      <w:r w:rsidRPr="009D249C">
        <w:rPr>
          <w:szCs w:val="24"/>
        </w:rPr>
        <w:tab/>
        <w:t>une Lettre de candidature présentant la motivation du candidat, sa compréhension des enjeux du poste et de ses responsabilités ;</w:t>
      </w:r>
    </w:p>
    <w:p w14:paraId="62EB1958" w14:textId="77777777" w:rsidR="009D249C" w:rsidRPr="009D249C" w:rsidRDefault="009D249C" w:rsidP="009D249C">
      <w:pPr>
        <w:jc w:val="both"/>
        <w:rPr>
          <w:szCs w:val="24"/>
        </w:rPr>
      </w:pPr>
      <w:r w:rsidRPr="009D249C">
        <w:rPr>
          <w:szCs w:val="24"/>
        </w:rPr>
        <w:t>-</w:t>
      </w:r>
      <w:r w:rsidRPr="009D249C">
        <w:rPr>
          <w:szCs w:val="24"/>
        </w:rPr>
        <w:tab/>
        <w:t>un Curriculum Vitae détaillé ;</w:t>
      </w:r>
    </w:p>
    <w:p w14:paraId="70384013" w14:textId="77777777" w:rsidR="009D249C" w:rsidRPr="009D249C" w:rsidRDefault="009D249C" w:rsidP="009D249C">
      <w:pPr>
        <w:jc w:val="both"/>
        <w:rPr>
          <w:szCs w:val="24"/>
        </w:rPr>
      </w:pPr>
      <w:r w:rsidRPr="009D249C">
        <w:rPr>
          <w:szCs w:val="24"/>
        </w:rPr>
        <w:t>-</w:t>
      </w:r>
      <w:r w:rsidRPr="009D249C">
        <w:rPr>
          <w:szCs w:val="24"/>
        </w:rPr>
        <w:tab/>
        <w:t>une copie du passeport ou de la carte d’identité en cours de validité.</w:t>
      </w:r>
    </w:p>
    <w:p w14:paraId="38FF0373" w14:textId="77777777" w:rsidR="009D249C" w:rsidRPr="009D249C" w:rsidRDefault="009D249C" w:rsidP="009D249C">
      <w:pPr>
        <w:jc w:val="both"/>
        <w:rPr>
          <w:szCs w:val="24"/>
        </w:rPr>
      </w:pPr>
    </w:p>
    <w:p w14:paraId="2A343802" w14:textId="4A0198C0" w:rsidR="009D249C" w:rsidRPr="009D249C" w:rsidRDefault="009D249C" w:rsidP="009D249C">
      <w:pPr>
        <w:jc w:val="both"/>
        <w:rPr>
          <w:szCs w:val="24"/>
        </w:rPr>
      </w:pPr>
      <w:r w:rsidRPr="009D249C">
        <w:rPr>
          <w:szCs w:val="24"/>
        </w:rPr>
        <w:t>S</w:t>
      </w:r>
      <w:r w:rsidR="002A2093">
        <w:rPr>
          <w:szCs w:val="24"/>
        </w:rPr>
        <w:t>i</w:t>
      </w:r>
      <w:r w:rsidRPr="009D249C">
        <w:rPr>
          <w:szCs w:val="24"/>
        </w:rPr>
        <w:t xml:space="preserve"> le dossier est retenu, les documents suivants devront être fournis avant l’entretien avec l’AIMF :</w:t>
      </w:r>
    </w:p>
    <w:p w14:paraId="3055676A" w14:textId="77777777" w:rsidR="009D249C" w:rsidRPr="009D249C" w:rsidRDefault="009D249C" w:rsidP="009D249C">
      <w:pPr>
        <w:jc w:val="both"/>
        <w:rPr>
          <w:szCs w:val="24"/>
        </w:rPr>
      </w:pPr>
    </w:p>
    <w:p w14:paraId="576D1A4F" w14:textId="77777777" w:rsidR="009D249C" w:rsidRPr="009D249C" w:rsidRDefault="009D249C" w:rsidP="009D249C">
      <w:pPr>
        <w:jc w:val="both"/>
        <w:rPr>
          <w:szCs w:val="24"/>
        </w:rPr>
      </w:pPr>
      <w:r w:rsidRPr="009D249C">
        <w:rPr>
          <w:szCs w:val="24"/>
        </w:rPr>
        <w:t>-</w:t>
      </w:r>
      <w:r w:rsidRPr="009D249C">
        <w:rPr>
          <w:szCs w:val="24"/>
        </w:rPr>
        <w:tab/>
        <w:t>Tout document attestant des qualités rédactionnelles ;</w:t>
      </w:r>
    </w:p>
    <w:p w14:paraId="68A4E539" w14:textId="3941EF0E" w:rsidR="008B0F75" w:rsidRDefault="009D249C" w:rsidP="009D249C">
      <w:pPr>
        <w:jc w:val="both"/>
        <w:rPr>
          <w:szCs w:val="24"/>
        </w:rPr>
      </w:pPr>
      <w:r w:rsidRPr="009D249C">
        <w:rPr>
          <w:szCs w:val="24"/>
        </w:rPr>
        <w:t>-</w:t>
      </w:r>
      <w:r w:rsidRPr="009D249C">
        <w:rPr>
          <w:szCs w:val="24"/>
        </w:rPr>
        <w:tab/>
        <w:t>Copie certifiée conforme à l’original des titres, diplômes, attestations de qualification ;</w:t>
      </w:r>
    </w:p>
    <w:p w14:paraId="74CFD7F3" w14:textId="77777777" w:rsidR="001A2096" w:rsidRDefault="008B0F75" w:rsidP="009D249C">
      <w:pPr>
        <w:jc w:val="both"/>
        <w:rPr>
          <w:szCs w:val="24"/>
        </w:rPr>
      </w:pPr>
      <w:r>
        <w:rPr>
          <w:szCs w:val="24"/>
        </w:rPr>
        <w:t xml:space="preserve">-          Attestation de situation de non-exclusion de la participation au marché UE </w:t>
      </w:r>
    </w:p>
    <w:p w14:paraId="2E89050F" w14:textId="7260E69B" w:rsidR="009D249C" w:rsidRPr="002A2093" w:rsidRDefault="009D249C" w:rsidP="009D249C">
      <w:pPr>
        <w:jc w:val="both"/>
        <w:rPr>
          <w:szCs w:val="24"/>
        </w:rPr>
      </w:pPr>
      <w:r w:rsidRPr="009D249C">
        <w:rPr>
          <w:szCs w:val="24"/>
        </w:rPr>
        <w:t xml:space="preserve"> </w:t>
      </w:r>
    </w:p>
    <w:p w14:paraId="5993DB27" w14:textId="1621E63A" w:rsidR="009D249C" w:rsidRPr="009D249C" w:rsidRDefault="009D249C" w:rsidP="009D249C">
      <w:pPr>
        <w:jc w:val="both"/>
        <w:rPr>
          <w:i/>
          <w:szCs w:val="24"/>
        </w:rPr>
      </w:pPr>
      <w:r w:rsidRPr="009D249C">
        <w:rPr>
          <w:i/>
          <w:szCs w:val="24"/>
        </w:rPr>
        <w:t>Les dossiers de candidatures, rédigés en français, doivent être envoyés par courrier électronique exclusivement aux adresses suivantes :</w:t>
      </w:r>
      <w:hyperlink r:id="rId10" w:history="1">
        <w:r w:rsidR="001A2096" w:rsidRPr="00491D71">
          <w:rPr>
            <w:rStyle w:val="Lienhypertexte"/>
            <w:i/>
            <w:szCs w:val="24"/>
          </w:rPr>
          <w:t>m.capitolin@aimf.asso.fr</w:t>
        </w:r>
      </w:hyperlink>
      <w:r w:rsidRPr="009D249C">
        <w:rPr>
          <w:i/>
          <w:szCs w:val="24"/>
        </w:rPr>
        <w:t xml:space="preserve"> </w:t>
      </w:r>
      <w:r w:rsidRPr="008B0F75">
        <w:rPr>
          <w:rStyle w:val="Lienhypertexte"/>
        </w:rPr>
        <w:t>; h.hassani@aimf.asso.fr</w:t>
      </w:r>
      <w:r w:rsidRPr="009D249C">
        <w:rPr>
          <w:i/>
          <w:szCs w:val="24"/>
        </w:rPr>
        <w:t xml:space="preserve"> ; </w:t>
      </w:r>
      <w:r w:rsidRPr="008B0F75">
        <w:rPr>
          <w:rStyle w:val="Lienhypertexte"/>
        </w:rPr>
        <w:t xml:space="preserve">c.alfred@aimf.asso.fr </w:t>
      </w:r>
      <w:r w:rsidRPr="009D249C">
        <w:rPr>
          <w:i/>
          <w:szCs w:val="24"/>
        </w:rPr>
        <w:t xml:space="preserve">; </w:t>
      </w:r>
    </w:p>
    <w:p w14:paraId="184B44AE" w14:textId="77777777" w:rsidR="009D249C" w:rsidRPr="009D249C" w:rsidRDefault="009D249C" w:rsidP="009D249C">
      <w:pPr>
        <w:jc w:val="both"/>
        <w:rPr>
          <w:i/>
          <w:szCs w:val="24"/>
        </w:rPr>
      </w:pPr>
    </w:p>
    <w:p w14:paraId="3948DAAE" w14:textId="77777777" w:rsidR="00AA104A" w:rsidRPr="007174DD" w:rsidRDefault="00AA104A" w:rsidP="00AA104A">
      <w:pPr>
        <w:jc w:val="both"/>
        <w:rPr>
          <w:i/>
          <w:szCs w:val="24"/>
          <w:highlight w:val="yellow"/>
        </w:rPr>
      </w:pPr>
    </w:p>
    <w:p w14:paraId="42E54B17" w14:textId="24380881" w:rsidR="00AA104A" w:rsidRPr="007174DD" w:rsidRDefault="00AA104A">
      <w:pPr>
        <w:rPr>
          <w:szCs w:val="24"/>
          <w:u w:val="single"/>
        </w:rPr>
      </w:pPr>
    </w:p>
    <w:sectPr w:rsidR="00AA104A" w:rsidRPr="007174DD" w:rsidSect="008B553A">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FA698" w14:textId="77777777" w:rsidR="00156BFD" w:rsidRPr="00156BFD" w:rsidRDefault="00156BFD" w:rsidP="00156BFD">
      <w:r w:rsidRPr="00156BFD">
        <w:separator/>
      </w:r>
    </w:p>
  </w:endnote>
  <w:endnote w:type="continuationSeparator" w:id="0">
    <w:p w14:paraId="3430E597" w14:textId="77777777" w:rsidR="00156BFD" w:rsidRPr="00156BFD" w:rsidRDefault="00156BFD" w:rsidP="00156BFD">
      <w:r w:rsidRPr="00156B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CC126" w14:textId="77777777" w:rsidR="00156BFD" w:rsidRPr="00156BFD" w:rsidRDefault="00156BFD" w:rsidP="00156BFD">
      <w:r w:rsidRPr="00156BFD">
        <w:separator/>
      </w:r>
    </w:p>
  </w:footnote>
  <w:footnote w:type="continuationSeparator" w:id="0">
    <w:p w14:paraId="707647E4" w14:textId="77777777" w:rsidR="00156BFD" w:rsidRPr="00156BFD" w:rsidRDefault="00156BFD" w:rsidP="00156BFD">
      <w:r w:rsidRPr="00156BF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B619D"/>
    <w:multiLevelType w:val="multilevel"/>
    <w:tmpl w:val="108AD4B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96E67"/>
    <w:multiLevelType w:val="hybridMultilevel"/>
    <w:tmpl w:val="65BC6BA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5485A"/>
    <w:multiLevelType w:val="hybridMultilevel"/>
    <w:tmpl w:val="A4D63E72"/>
    <w:lvl w:ilvl="0" w:tplc="E56877C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C37E08"/>
    <w:multiLevelType w:val="multilevel"/>
    <w:tmpl w:val="8438E6CA"/>
    <w:lvl w:ilvl="0">
      <w:start w:val="1"/>
      <w:numFmt w:val="decimal"/>
      <w:lvlText w:val="%1"/>
      <w:lvlJc w:val="left"/>
      <w:pPr>
        <w:ind w:left="360" w:hanging="360"/>
      </w:pPr>
      <w:rPr>
        <w:rFonts w:hint="default"/>
        <w:i/>
      </w:rPr>
    </w:lvl>
    <w:lvl w:ilvl="1">
      <w:start w:val="1"/>
      <w:numFmt w:val="decimal"/>
      <w:lvlText w:val="%1.%2"/>
      <w:lvlJc w:val="left"/>
      <w:pPr>
        <w:ind w:left="740" w:hanging="360"/>
      </w:pPr>
      <w:rPr>
        <w:rFonts w:hint="default"/>
        <w:i/>
      </w:rPr>
    </w:lvl>
    <w:lvl w:ilvl="2">
      <w:start w:val="1"/>
      <w:numFmt w:val="decimal"/>
      <w:lvlText w:val="%1.%2.%3"/>
      <w:lvlJc w:val="left"/>
      <w:pPr>
        <w:ind w:left="1480" w:hanging="720"/>
      </w:pPr>
      <w:rPr>
        <w:rFonts w:hint="default"/>
        <w:i/>
      </w:rPr>
    </w:lvl>
    <w:lvl w:ilvl="3">
      <w:start w:val="1"/>
      <w:numFmt w:val="decimal"/>
      <w:lvlText w:val="%1.%2.%3.%4"/>
      <w:lvlJc w:val="left"/>
      <w:pPr>
        <w:ind w:left="1860" w:hanging="720"/>
      </w:pPr>
      <w:rPr>
        <w:rFonts w:hint="default"/>
        <w:i/>
      </w:rPr>
    </w:lvl>
    <w:lvl w:ilvl="4">
      <w:start w:val="1"/>
      <w:numFmt w:val="decimal"/>
      <w:lvlText w:val="%1.%2.%3.%4.%5"/>
      <w:lvlJc w:val="left"/>
      <w:pPr>
        <w:ind w:left="2600" w:hanging="1080"/>
      </w:pPr>
      <w:rPr>
        <w:rFonts w:hint="default"/>
        <w:i/>
      </w:rPr>
    </w:lvl>
    <w:lvl w:ilvl="5">
      <w:start w:val="1"/>
      <w:numFmt w:val="decimal"/>
      <w:lvlText w:val="%1.%2.%3.%4.%5.%6"/>
      <w:lvlJc w:val="left"/>
      <w:pPr>
        <w:ind w:left="2980" w:hanging="1080"/>
      </w:pPr>
      <w:rPr>
        <w:rFonts w:hint="default"/>
        <w:i/>
      </w:rPr>
    </w:lvl>
    <w:lvl w:ilvl="6">
      <w:start w:val="1"/>
      <w:numFmt w:val="decimal"/>
      <w:lvlText w:val="%1.%2.%3.%4.%5.%6.%7"/>
      <w:lvlJc w:val="left"/>
      <w:pPr>
        <w:ind w:left="3720" w:hanging="1440"/>
      </w:pPr>
      <w:rPr>
        <w:rFonts w:hint="default"/>
        <w:i/>
      </w:rPr>
    </w:lvl>
    <w:lvl w:ilvl="7">
      <w:start w:val="1"/>
      <w:numFmt w:val="decimal"/>
      <w:lvlText w:val="%1.%2.%3.%4.%5.%6.%7.%8"/>
      <w:lvlJc w:val="left"/>
      <w:pPr>
        <w:ind w:left="4100" w:hanging="1440"/>
      </w:pPr>
      <w:rPr>
        <w:rFonts w:hint="default"/>
        <w:i/>
      </w:rPr>
    </w:lvl>
    <w:lvl w:ilvl="8">
      <w:start w:val="1"/>
      <w:numFmt w:val="decimal"/>
      <w:lvlText w:val="%1.%2.%3.%4.%5.%6.%7.%8.%9"/>
      <w:lvlJc w:val="left"/>
      <w:pPr>
        <w:ind w:left="4480" w:hanging="1440"/>
      </w:pPr>
      <w:rPr>
        <w:rFonts w:hint="default"/>
        <w:i/>
      </w:rPr>
    </w:lvl>
  </w:abstractNum>
  <w:abstractNum w:abstractNumId="4" w15:restartNumberingAfterBreak="0">
    <w:nsid w:val="0D07734E"/>
    <w:multiLevelType w:val="hybridMultilevel"/>
    <w:tmpl w:val="33DCCD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8315DE"/>
    <w:multiLevelType w:val="hybridMultilevel"/>
    <w:tmpl w:val="F0A23D72"/>
    <w:lvl w:ilvl="0" w:tplc="2906438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274161E"/>
    <w:multiLevelType w:val="hybridMultilevel"/>
    <w:tmpl w:val="70F836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9B32A9"/>
    <w:multiLevelType w:val="multilevel"/>
    <w:tmpl w:val="6A665B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46B45DC"/>
    <w:multiLevelType w:val="hybridMultilevel"/>
    <w:tmpl w:val="B0C864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8C1A04"/>
    <w:multiLevelType w:val="hybridMultilevel"/>
    <w:tmpl w:val="A08A6E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506DB6"/>
    <w:multiLevelType w:val="hybridMultilevel"/>
    <w:tmpl w:val="1C74E626"/>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8B3FD6"/>
    <w:multiLevelType w:val="hybridMultilevel"/>
    <w:tmpl w:val="68F4D2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AA6504"/>
    <w:multiLevelType w:val="hybridMultilevel"/>
    <w:tmpl w:val="078CD734"/>
    <w:lvl w:ilvl="0" w:tplc="27AC4D4E">
      <w:start w:val="1"/>
      <w:numFmt w:val="low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0C417A8"/>
    <w:multiLevelType w:val="hybridMultilevel"/>
    <w:tmpl w:val="43D0D908"/>
    <w:lvl w:ilvl="0" w:tplc="70E8F87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985063"/>
    <w:multiLevelType w:val="hybridMultilevel"/>
    <w:tmpl w:val="5DAE7ACA"/>
    <w:lvl w:ilvl="0" w:tplc="7BE0DD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A79D1"/>
    <w:multiLevelType w:val="hybridMultilevel"/>
    <w:tmpl w:val="414EB5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A03F3D"/>
    <w:multiLevelType w:val="hybridMultilevel"/>
    <w:tmpl w:val="D1DEC3C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A1B69F5"/>
    <w:multiLevelType w:val="hybridMultilevel"/>
    <w:tmpl w:val="6FB87E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284B2E"/>
    <w:multiLevelType w:val="hybridMultilevel"/>
    <w:tmpl w:val="99FA9C2C"/>
    <w:lvl w:ilvl="0" w:tplc="2C9003B6">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72106C"/>
    <w:multiLevelType w:val="hybridMultilevel"/>
    <w:tmpl w:val="821283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7C4803"/>
    <w:multiLevelType w:val="hybridMultilevel"/>
    <w:tmpl w:val="B6EAC9B8"/>
    <w:lvl w:ilvl="0" w:tplc="337C978E">
      <w:start w:val="29"/>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2422891"/>
    <w:multiLevelType w:val="hybridMultilevel"/>
    <w:tmpl w:val="9C166E64"/>
    <w:lvl w:ilvl="0" w:tplc="7676E86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6753D2A"/>
    <w:multiLevelType w:val="hybridMultilevel"/>
    <w:tmpl w:val="D6B46E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C230E7"/>
    <w:multiLevelType w:val="hybridMultilevel"/>
    <w:tmpl w:val="86EA53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A528B2"/>
    <w:multiLevelType w:val="hybridMultilevel"/>
    <w:tmpl w:val="33DCCDD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390D8D"/>
    <w:multiLevelType w:val="hybridMultilevel"/>
    <w:tmpl w:val="E58A82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917C3A"/>
    <w:multiLevelType w:val="hybridMultilevel"/>
    <w:tmpl w:val="447461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FE7E49"/>
    <w:multiLevelType w:val="hybridMultilevel"/>
    <w:tmpl w:val="EDEC2852"/>
    <w:lvl w:ilvl="0" w:tplc="28E6733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6828F9"/>
    <w:multiLevelType w:val="hybridMultilevel"/>
    <w:tmpl w:val="4796A1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4F2807"/>
    <w:multiLevelType w:val="hybridMultilevel"/>
    <w:tmpl w:val="33DCCDD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D6790A"/>
    <w:multiLevelType w:val="hybridMultilevel"/>
    <w:tmpl w:val="B48AC690"/>
    <w:lvl w:ilvl="0" w:tplc="08A034E4">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4109B8"/>
    <w:multiLevelType w:val="multilevel"/>
    <w:tmpl w:val="24240526"/>
    <w:lvl w:ilvl="0">
      <w:start w:val="1"/>
      <w:numFmt w:val="decimal"/>
      <w:lvlText w:val="%1."/>
      <w:lvlJc w:val="left"/>
      <w:pPr>
        <w:ind w:left="360" w:hanging="360"/>
      </w:pPr>
      <w:rPr>
        <w:rFonts w:hint="default"/>
      </w:rPr>
    </w:lvl>
    <w:lvl w:ilvl="1">
      <w:start w:val="3"/>
      <w:numFmt w:val="decimal"/>
      <w:lvlText w:val="%1.%2."/>
      <w:lvlJc w:val="left"/>
      <w:pPr>
        <w:ind w:left="740" w:hanging="36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32" w15:restartNumberingAfterBreak="0">
    <w:nsid w:val="6C246E2A"/>
    <w:multiLevelType w:val="hybridMultilevel"/>
    <w:tmpl w:val="FD60FEB0"/>
    <w:lvl w:ilvl="0" w:tplc="B1860A4A">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ED35A9"/>
    <w:multiLevelType w:val="hybridMultilevel"/>
    <w:tmpl w:val="582C15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29516CC"/>
    <w:multiLevelType w:val="multilevel"/>
    <w:tmpl w:val="8AA8C53C"/>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35" w15:restartNumberingAfterBreak="0">
    <w:nsid w:val="7CB8032A"/>
    <w:multiLevelType w:val="hybridMultilevel"/>
    <w:tmpl w:val="1CFC4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44258569">
    <w:abstractNumId w:val="32"/>
  </w:num>
  <w:num w:numId="2" w16cid:durableId="972178953">
    <w:abstractNumId w:val="13"/>
  </w:num>
  <w:num w:numId="3" w16cid:durableId="750200849">
    <w:abstractNumId w:val="14"/>
  </w:num>
  <w:num w:numId="4" w16cid:durableId="308436615">
    <w:abstractNumId w:val="15"/>
  </w:num>
  <w:num w:numId="5" w16cid:durableId="2091076828">
    <w:abstractNumId w:val="12"/>
  </w:num>
  <w:num w:numId="6" w16cid:durableId="2069453601">
    <w:abstractNumId w:val="34"/>
  </w:num>
  <w:num w:numId="7" w16cid:durableId="955989066">
    <w:abstractNumId w:val="2"/>
  </w:num>
  <w:num w:numId="8" w16cid:durableId="797987067">
    <w:abstractNumId w:val="0"/>
  </w:num>
  <w:num w:numId="9" w16cid:durableId="444159629">
    <w:abstractNumId w:val="16"/>
  </w:num>
  <w:num w:numId="10" w16cid:durableId="157814557">
    <w:abstractNumId w:val="1"/>
  </w:num>
  <w:num w:numId="11" w16cid:durableId="863979193">
    <w:abstractNumId w:val="7"/>
  </w:num>
  <w:num w:numId="12" w16cid:durableId="1280257508">
    <w:abstractNumId w:val="3"/>
  </w:num>
  <w:num w:numId="13" w16cid:durableId="1799060352">
    <w:abstractNumId w:val="31"/>
  </w:num>
  <w:num w:numId="14" w16cid:durableId="1788699828">
    <w:abstractNumId w:val="33"/>
  </w:num>
  <w:num w:numId="15" w16cid:durableId="754862628">
    <w:abstractNumId w:val="27"/>
  </w:num>
  <w:num w:numId="16" w16cid:durableId="905141909">
    <w:abstractNumId w:val="20"/>
  </w:num>
  <w:num w:numId="17" w16cid:durableId="840967007">
    <w:abstractNumId w:val="11"/>
  </w:num>
  <w:num w:numId="18" w16cid:durableId="2142528476">
    <w:abstractNumId w:val="17"/>
  </w:num>
  <w:num w:numId="19" w16cid:durableId="604702171">
    <w:abstractNumId w:val="23"/>
  </w:num>
  <w:num w:numId="20" w16cid:durableId="290746531">
    <w:abstractNumId w:val="26"/>
  </w:num>
  <w:num w:numId="21" w16cid:durableId="800533030">
    <w:abstractNumId w:val="8"/>
  </w:num>
  <w:num w:numId="22" w16cid:durableId="963996597">
    <w:abstractNumId w:val="25"/>
  </w:num>
  <w:num w:numId="23" w16cid:durableId="1029525482">
    <w:abstractNumId w:val="18"/>
  </w:num>
  <w:num w:numId="24" w16cid:durableId="2136022233">
    <w:abstractNumId w:val="30"/>
  </w:num>
  <w:num w:numId="25" w16cid:durableId="1286152681">
    <w:abstractNumId w:val="9"/>
  </w:num>
  <w:num w:numId="26" w16cid:durableId="1333948483">
    <w:abstractNumId w:val="35"/>
  </w:num>
  <w:num w:numId="27" w16cid:durableId="1296570370">
    <w:abstractNumId w:val="19"/>
  </w:num>
  <w:num w:numId="28" w16cid:durableId="2010675175">
    <w:abstractNumId w:val="21"/>
  </w:num>
  <w:num w:numId="29" w16cid:durableId="1862813462">
    <w:abstractNumId w:val="28"/>
  </w:num>
  <w:num w:numId="30" w16cid:durableId="509756690">
    <w:abstractNumId w:val="10"/>
  </w:num>
  <w:num w:numId="31" w16cid:durableId="1722169578">
    <w:abstractNumId w:val="24"/>
  </w:num>
  <w:num w:numId="32" w16cid:durableId="1650556832">
    <w:abstractNumId w:val="22"/>
  </w:num>
  <w:num w:numId="33" w16cid:durableId="1456102276">
    <w:abstractNumId w:val="6"/>
  </w:num>
  <w:num w:numId="34" w16cid:durableId="1071540322">
    <w:abstractNumId w:val="29"/>
  </w:num>
  <w:num w:numId="35" w16cid:durableId="1481967319">
    <w:abstractNumId w:val="5"/>
  </w:num>
  <w:num w:numId="36" w16cid:durableId="1422683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77"/>
    <w:rsid w:val="000A7E77"/>
    <w:rsid w:val="000C006F"/>
    <w:rsid w:val="000F25C3"/>
    <w:rsid w:val="00131DF4"/>
    <w:rsid w:val="00156BFD"/>
    <w:rsid w:val="00175E7F"/>
    <w:rsid w:val="001A2096"/>
    <w:rsid w:val="002A2093"/>
    <w:rsid w:val="002B3892"/>
    <w:rsid w:val="002F02A4"/>
    <w:rsid w:val="00410B34"/>
    <w:rsid w:val="00432667"/>
    <w:rsid w:val="004358CC"/>
    <w:rsid w:val="00440BC1"/>
    <w:rsid w:val="00481D2F"/>
    <w:rsid w:val="0048534D"/>
    <w:rsid w:val="004B46E1"/>
    <w:rsid w:val="00505171"/>
    <w:rsid w:val="00505577"/>
    <w:rsid w:val="00596337"/>
    <w:rsid w:val="006067D4"/>
    <w:rsid w:val="006716C7"/>
    <w:rsid w:val="007174DD"/>
    <w:rsid w:val="00775A44"/>
    <w:rsid w:val="00797EC5"/>
    <w:rsid w:val="007B085F"/>
    <w:rsid w:val="0086011A"/>
    <w:rsid w:val="00886904"/>
    <w:rsid w:val="008B0A88"/>
    <w:rsid w:val="008B0F75"/>
    <w:rsid w:val="008B389D"/>
    <w:rsid w:val="008B553A"/>
    <w:rsid w:val="008C58F3"/>
    <w:rsid w:val="008D6FB2"/>
    <w:rsid w:val="0098521B"/>
    <w:rsid w:val="009A78F2"/>
    <w:rsid w:val="009D249C"/>
    <w:rsid w:val="009D59F6"/>
    <w:rsid w:val="00A00142"/>
    <w:rsid w:val="00AA104A"/>
    <w:rsid w:val="00C52B2B"/>
    <w:rsid w:val="00CA16A9"/>
    <w:rsid w:val="00D24F22"/>
    <w:rsid w:val="00D46E9A"/>
    <w:rsid w:val="00DD3BB7"/>
    <w:rsid w:val="00EE3249"/>
    <w:rsid w:val="00FB1497"/>
    <w:rsid w:val="00FD4C54"/>
    <w:rsid w:val="00FD77A3"/>
    <w:rsid w:val="00FF16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D79D"/>
  <w15:chartTrackingRefBased/>
  <w15:docId w15:val="{8C01ED73-7A2A-480B-825B-4E43E1E5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B2B"/>
    <w:pPr>
      <w:spacing w:after="0" w:line="240" w:lineRule="auto"/>
    </w:pPr>
    <w:rPr>
      <w:rFonts w:ascii="Times New Roman" w:eastAsia="Times New Roman" w:hAnsi="Times New Roman" w:cs="Times New Roman"/>
      <w:kern w:val="0"/>
      <w:szCs w:val="20"/>
    </w:rPr>
  </w:style>
  <w:style w:type="paragraph" w:styleId="Titre1">
    <w:name w:val="heading 1"/>
    <w:basedOn w:val="Normal"/>
    <w:next w:val="Normal"/>
    <w:link w:val="Titre1Car"/>
    <w:qFormat/>
    <w:rsid w:val="000A7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A7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A7E7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0A7E7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0A7E7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7E7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7E7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7E7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7E7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7E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A7E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A7E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7E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7E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7E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7E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7E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7E77"/>
    <w:rPr>
      <w:rFonts w:eastAsiaTheme="majorEastAsia" w:cstheme="majorBidi"/>
      <w:color w:val="272727" w:themeColor="text1" w:themeTint="D8"/>
    </w:rPr>
  </w:style>
  <w:style w:type="paragraph" w:styleId="Titre">
    <w:name w:val="Title"/>
    <w:basedOn w:val="Normal"/>
    <w:next w:val="Normal"/>
    <w:link w:val="TitreCar"/>
    <w:uiPriority w:val="10"/>
    <w:qFormat/>
    <w:rsid w:val="000A7E7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7E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7E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7E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7E77"/>
    <w:pPr>
      <w:spacing w:before="160"/>
      <w:jc w:val="center"/>
    </w:pPr>
    <w:rPr>
      <w:i/>
      <w:iCs/>
      <w:color w:val="404040" w:themeColor="text1" w:themeTint="BF"/>
    </w:rPr>
  </w:style>
  <w:style w:type="character" w:customStyle="1" w:styleId="CitationCar">
    <w:name w:val="Citation Car"/>
    <w:basedOn w:val="Policepardfaut"/>
    <w:link w:val="Citation"/>
    <w:uiPriority w:val="29"/>
    <w:rsid w:val="000A7E77"/>
    <w:rPr>
      <w:i/>
      <w:iCs/>
      <w:color w:val="404040" w:themeColor="text1" w:themeTint="BF"/>
    </w:rPr>
  </w:style>
  <w:style w:type="paragraph" w:styleId="Paragraphedeliste">
    <w:name w:val="List Paragraph"/>
    <w:aliases w:val="Glossaire,liste de tableaux,Titre1,I..1,L_4,Paragraphe de liste4,U 5,Paragraphe 2,References,texte,Bullet Points,Farbige Liste - Akzent 11,inspringtekst,1,Paragraphe de liste1,Liste Paragraf,Citation List,Table of contents numbered"/>
    <w:basedOn w:val="Normal"/>
    <w:link w:val="ParagraphedelisteCar"/>
    <w:uiPriority w:val="34"/>
    <w:qFormat/>
    <w:rsid w:val="000A7E77"/>
    <w:pPr>
      <w:ind w:left="720"/>
      <w:contextualSpacing/>
    </w:pPr>
  </w:style>
  <w:style w:type="character" w:styleId="Accentuationintense">
    <w:name w:val="Intense Emphasis"/>
    <w:basedOn w:val="Policepardfaut"/>
    <w:uiPriority w:val="21"/>
    <w:qFormat/>
    <w:rsid w:val="000A7E77"/>
    <w:rPr>
      <w:i/>
      <w:iCs/>
      <w:color w:val="0F4761" w:themeColor="accent1" w:themeShade="BF"/>
    </w:rPr>
  </w:style>
  <w:style w:type="paragraph" w:styleId="Citationintense">
    <w:name w:val="Intense Quote"/>
    <w:basedOn w:val="Normal"/>
    <w:next w:val="Normal"/>
    <w:link w:val="CitationintenseCar"/>
    <w:uiPriority w:val="30"/>
    <w:qFormat/>
    <w:rsid w:val="000A7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7E77"/>
    <w:rPr>
      <w:i/>
      <w:iCs/>
      <w:color w:val="0F4761" w:themeColor="accent1" w:themeShade="BF"/>
    </w:rPr>
  </w:style>
  <w:style w:type="character" w:styleId="Rfrenceintense">
    <w:name w:val="Intense Reference"/>
    <w:basedOn w:val="Policepardfaut"/>
    <w:uiPriority w:val="32"/>
    <w:qFormat/>
    <w:rsid w:val="000A7E77"/>
    <w:rPr>
      <w:b/>
      <w:bCs/>
      <w:smallCaps/>
      <w:color w:val="0F4761" w:themeColor="accent1" w:themeShade="BF"/>
      <w:spacing w:val="5"/>
    </w:rPr>
  </w:style>
  <w:style w:type="paragraph" w:customStyle="1" w:styleId="CorpoA">
    <w:name w:val="Corpo A"/>
    <w:rsid w:val="000A7E77"/>
    <w:pPr>
      <w:spacing w:after="0" w:line="240" w:lineRule="auto"/>
    </w:pPr>
    <w:rPr>
      <w:rFonts w:ascii="Times New Roman" w:eastAsia="Arial Unicode MS" w:hAnsi="Arial Unicode MS" w:cs="Arial Unicode MS"/>
      <w:color w:val="000000"/>
      <w:kern w:val="0"/>
      <w:u w:color="000000"/>
      <w:lang w:eastAsia="fr-FR"/>
    </w:rPr>
  </w:style>
  <w:style w:type="character" w:customStyle="1" w:styleId="ParagraphedelisteCar">
    <w:name w:val="Paragraphe de liste Car"/>
    <w:aliases w:val="Glossaire Car,liste de tableaux Car,Titre1 Car,I..1 Car,L_4 Car,Paragraphe de liste4 Car,U 5 Car,Paragraphe 2 Car,References Car,texte Car,Bullet Points Car,Farbige Liste - Akzent 11 Car,inspringtekst Car,1 Car,Liste Paragraf Car"/>
    <w:link w:val="Paragraphedeliste"/>
    <w:uiPriority w:val="34"/>
    <w:qFormat/>
    <w:rsid w:val="000A7E77"/>
  </w:style>
  <w:style w:type="paragraph" w:customStyle="1" w:styleId="Text2">
    <w:name w:val="Text 2"/>
    <w:basedOn w:val="Normal"/>
    <w:rsid w:val="000A7E77"/>
    <w:pPr>
      <w:tabs>
        <w:tab w:val="left" w:pos="2161"/>
      </w:tabs>
      <w:spacing w:after="240"/>
      <w:ind w:left="1202"/>
      <w:jc w:val="both"/>
    </w:pPr>
    <w:rPr>
      <w:rFonts w:ascii="Arial" w:hAnsi="Arial"/>
      <w:sz w:val="20"/>
      <w:lang w:eastAsia="en-GB"/>
    </w:rPr>
  </w:style>
  <w:style w:type="paragraph" w:styleId="Corpsdetexte2">
    <w:name w:val="Body Text 2"/>
    <w:basedOn w:val="Normal"/>
    <w:link w:val="Corpsdetexte2Car"/>
    <w:rsid w:val="00156BFD"/>
    <w:pPr>
      <w:pBdr>
        <w:top w:val="single" w:sz="4" w:space="1" w:color="auto"/>
        <w:left w:val="single" w:sz="4" w:space="4" w:color="auto"/>
        <w:bottom w:val="single" w:sz="4" w:space="1" w:color="auto"/>
        <w:right w:val="single" w:sz="4" w:space="4" w:color="auto"/>
      </w:pBdr>
    </w:pPr>
    <w:rPr>
      <w:i/>
      <w:iCs/>
      <w:lang w:eastAsia="fr-FR" w:bidi="fr-FR"/>
      <w14:ligatures w14:val="none"/>
    </w:rPr>
  </w:style>
  <w:style w:type="character" w:customStyle="1" w:styleId="Corpsdetexte2Car">
    <w:name w:val="Corps de texte 2 Car"/>
    <w:basedOn w:val="Policepardfaut"/>
    <w:link w:val="Corpsdetexte2"/>
    <w:rsid w:val="00156BFD"/>
    <w:rPr>
      <w:rFonts w:ascii="Times New Roman" w:eastAsia="Times New Roman" w:hAnsi="Times New Roman" w:cs="Times New Roman"/>
      <w:i/>
      <w:iCs/>
      <w:kern w:val="0"/>
      <w:szCs w:val="20"/>
      <w:lang w:eastAsia="fr-FR" w:bidi="fr-FR"/>
      <w14:ligatures w14:val="none"/>
    </w:rPr>
  </w:style>
  <w:style w:type="paragraph" w:styleId="Notedebasdepage">
    <w:name w:val="footnote text"/>
    <w:basedOn w:val="Normal"/>
    <w:link w:val="NotedebasdepageCar"/>
    <w:autoRedefine/>
    <w:uiPriority w:val="99"/>
    <w:rsid w:val="00156BFD"/>
    <w:pPr>
      <w:spacing w:after="60"/>
    </w:pPr>
    <w:rPr>
      <w:sz w:val="20"/>
      <w:lang w:eastAsia="fr-FR" w:bidi="fr-FR"/>
      <w14:ligatures w14:val="none"/>
    </w:rPr>
  </w:style>
  <w:style w:type="character" w:customStyle="1" w:styleId="NotedebasdepageCar">
    <w:name w:val="Note de bas de page Car"/>
    <w:basedOn w:val="Policepardfaut"/>
    <w:link w:val="Notedebasdepage"/>
    <w:uiPriority w:val="99"/>
    <w:rsid w:val="00156BFD"/>
    <w:rPr>
      <w:rFonts w:ascii="Times New Roman" w:eastAsia="Times New Roman" w:hAnsi="Times New Roman" w:cs="Times New Roman"/>
      <w:kern w:val="0"/>
      <w:sz w:val="20"/>
      <w:szCs w:val="20"/>
      <w:lang w:eastAsia="fr-FR" w:bidi="fr-FR"/>
      <w14:ligatures w14:val="none"/>
    </w:rPr>
  </w:style>
  <w:style w:type="character" w:styleId="Appelnotedebasdep">
    <w:name w:val="footnote reference"/>
    <w:uiPriority w:val="99"/>
    <w:rsid w:val="00156BFD"/>
    <w:rPr>
      <w:vertAlign w:val="superscript"/>
    </w:rPr>
  </w:style>
  <w:style w:type="paragraph" w:styleId="Commentaire">
    <w:name w:val="annotation text"/>
    <w:basedOn w:val="Normal"/>
    <w:link w:val="CommentaireCar"/>
    <w:uiPriority w:val="99"/>
    <w:unhideWhenUsed/>
    <w:rsid w:val="00156BFD"/>
    <w:rPr>
      <w:sz w:val="20"/>
      <w:lang w:eastAsia="fr-FR" w:bidi="fr-FR"/>
      <w14:ligatures w14:val="none"/>
    </w:rPr>
  </w:style>
  <w:style w:type="character" w:customStyle="1" w:styleId="CommentaireCar">
    <w:name w:val="Commentaire Car"/>
    <w:basedOn w:val="Policepardfaut"/>
    <w:link w:val="Commentaire"/>
    <w:uiPriority w:val="99"/>
    <w:rsid w:val="00156BFD"/>
    <w:rPr>
      <w:rFonts w:ascii="Times New Roman" w:eastAsia="Times New Roman" w:hAnsi="Times New Roman" w:cs="Times New Roman"/>
      <w:kern w:val="0"/>
      <w:sz w:val="20"/>
      <w:szCs w:val="20"/>
      <w:lang w:eastAsia="fr-FR" w:bidi="fr-FR"/>
      <w14:ligatures w14:val="none"/>
    </w:rPr>
  </w:style>
  <w:style w:type="paragraph" w:styleId="En-ttedetabledesmatires">
    <w:name w:val="TOC Heading"/>
    <w:basedOn w:val="Titre1"/>
    <w:next w:val="Normal"/>
    <w:uiPriority w:val="39"/>
    <w:unhideWhenUsed/>
    <w:qFormat/>
    <w:rsid w:val="008B0A88"/>
    <w:pPr>
      <w:spacing w:before="240" w:after="0" w:line="259" w:lineRule="auto"/>
      <w:outlineLvl w:val="9"/>
    </w:pPr>
    <w:rPr>
      <w:sz w:val="32"/>
      <w:szCs w:val="32"/>
      <w:lang w:eastAsia="fr-FR"/>
      <w14:ligatures w14:val="none"/>
    </w:rPr>
  </w:style>
  <w:style w:type="paragraph" w:styleId="TM2">
    <w:name w:val="toc 2"/>
    <w:basedOn w:val="Normal"/>
    <w:next w:val="Normal"/>
    <w:autoRedefine/>
    <w:uiPriority w:val="39"/>
    <w:unhideWhenUsed/>
    <w:rsid w:val="008B0A88"/>
    <w:pPr>
      <w:spacing w:after="100"/>
      <w:ind w:left="240"/>
    </w:pPr>
  </w:style>
  <w:style w:type="paragraph" w:styleId="TM1">
    <w:name w:val="toc 1"/>
    <w:basedOn w:val="Normal"/>
    <w:next w:val="Normal"/>
    <w:autoRedefine/>
    <w:uiPriority w:val="39"/>
    <w:unhideWhenUsed/>
    <w:rsid w:val="008B0A88"/>
    <w:pPr>
      <w:spacing w:after="100"/>
    </w:pPr>
  </w:style>
  <w:style w:type="paragraph" w:styleId="TM3">
    <w:name w:val="toc 3"/>
    <w:basedOn w:val="Normal"/>
    <w:next w:val="Normal"/>
    <w:autoRedefine/>
    <w:uiPriority w:val="39"/>
    <w:unhideWhenUsed/>
    <w:rsid w:val="008B0A88"/>
    <w:pPr>
      <w:spacing w:after="100"/>
      <w:ind w:left="480"/>
    </w:pPr>
  </w:style>
  <w:style w:type="character" w:styleId="Lienhypertexte">
    <w:name w:val="Hyperlink"/>
    <w:basedOn w:val="Policepardfaut"/>
    <w:uiPriority w:val="99"/>
    <w:unhideWhenUsed/>
    <w:rsid w:val="008B0A88"/>
    <w:rPr>
      <w:color w:val="467886" w:themeColor="hyperlink"/>
      <w:u w:val="single"/>
    </w:rPr>
  </w:style>
  <w:style w:type="character" w:styleId="Mentionnonrsolue">
    <w:name w:val="Unresolved Mention"/>
    <w:basedOn w:val="Policepardfau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capitolin@aimf.asso.f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27630-7AD4-49C6-A688-F05811E3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3358</Words>
  <Characters>18471</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Hayati HASSANI</dc:creator>
  <cp:keywords/>
  <dc:description/>
  <cp:lastModifiedBy>Hayati HASSANI</cp:lastModifiedBy>
  <cp:revision>13</cp:revision>
  <dcterms:created xsi:type="dcterms:W3CDTF">2024-05-27T16:41:00Z</dcterms:created>
  <dcterms:modified xsi:type="dcterms:W3CDTF">2024-06-03T16:46:00Z</dcterms:modified>
</cp:coreProperties>
</file>